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f2"/>
      </w:pPr>
      <w:r>
        <w:t xml:space="preserve">П</w:t>
      </w:r>
      <w:r>
        <w:t xml:space="preserve"> О С Т А Н О В Л Е Н И Е</w:t>
      </w:r>
    </w:p>
    <w:p>
      <w:pPr>
        <w:spacing w:after="0" w:line="240" w:lineRule="auto"/>
        <w:jc w:val="center"/>
        <w:rPr>
          <w:rFonts w:ascii="Times New Roman" w:hAnsi="Times New Roman" w:eastAsia="Arial Unicode MS"/>
          <w:spacing w:val="30"/>
          <w:sz w:val="32"/>
        </w:rPr>
      </w:pPr>
      <w:r>
        <w:rPr>
          <w:rFonts w:ascii="Times New Roman" w:hAnsi="Times New Roman" w:eastAsia="Arial Unicode MS"/>
          <w:spacing w:val="30"/>
          <w:sz w:val="32"/>
        </w:rPr>
        <w:t xml:space="preserve">АДМИНИСТРАЦИИ ГОРОДА СТАВРОПОЛЯ</w:t>
      </w:r>
    </w:p>
    <w:p>
      <w:pPr>
        <w:spacing w:after="0" w:line="240" w:lineRule="auto"/>
        <w:jc w:val="center"/>
        <w:rPr>
          <w:rFonts w:ascii="Times New Roman" w:hAnsi="Times New Roman" w:eastAsia="Arial Unicode MS"/>
          <w:spacing w:val="30"/>
          <w:sz w:val="32"/>
        </w:rPr>
      </w:pPr>
      <w:r>
        <w:rPr>
          <w:rFonts w:ascii="Times New Roman" w:hAnsi="Times New Roman" w:eastAsia="Arial Unicode MS"/>
          <w:spacing w:val="30"/>
          <w:sz w:val="32"/>
        </w:rPr>
        <w:t xml:space="preserve">СТАВРОПОЛЬСКОГО КРАЯ</w:t>
      </w:r>
    </w:p>
    <w:p>
      <w:pPr>
        <w:spacing w:after="0" w:line="240" w:lineRule="auto"/>
        <w:jc w:val="both"/>
        <w:rPr>
          <w:rFonts w:ascii="Times New Roman" w:hAnsi="Times New Roman" w:eastAsia="Arial Unicode MS"/>
          <w:spacing w:val="30"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eastAsia="Arial Unicode MS"/>
          <w:spacing w:val="30"/>
          <w:sz w:val="32"/>
        </w:rPr>
      </w:pPr>
      <w:r>
        <w:rPr>
          <w:rFonts w:ascii="Times New Roman" w:hAnsi="Times New Roman" w:eastAsia="Arial Unicode MS"/>
          <w:spacing w:val="30"/>
          <w:sz w:val="32"/>
        </w:rPr>
        <w:t xml:space="preserve">03</w:t>
      </w:r>
      <w:r>
        <w:rPr>
          <w:rFonts w:ascii="Times New Roman" w:hAnsi="Times New Roman" w:eastAsia="Arial Unicode MS"/>
          <w:spacing w:val="30"/>
          <w:sz w:val="32"/>
        </w:rPr>
        <w:t xml:space="preserve">.</w:t>
      </w:r>
      <w:r>
        <w:rPr>
          <w:rFonts w:ascii="Times New Roman" w:hAnsi="Times New Roman" w:eastAsia="Arial Unicode MS"/>
          <w:spacing w:val="30"/>
          <w:sz w:val="32"/>
        </w:rPr>
        <w:t xml:space="preserve">11</w:t>
      </w:r>
      <w:r>
        <w:rPr>
          <w:rFonts w:ascii="Times New Roman" w:hAnsi="Times New Roman" w:eastAsia="Arial Unicode MS"/>
          <w:spacing w:val="30"/>
          <w:sz w:val="32"/>
        </w:rPr>
        <w:t xml:space="preserve">.20</w:t>
      </w:r>
      <w:r>
        <w:rPr>
          <w:rFonts w:ascii="Times New Roman" w:hAnsi="Times New Roman" w:eastAsia="Arial Unicode MS"/>
          <w:spacing w:val="30"/>
          <w:sz w:val="32"/>
        </w:rPr>
        <w:t xml:space="preserve">22</w:t>
      </w:r>
      <w:r>
        <w:rPr>
          <w:rFonts w:ascii="Times New Roman" w:hAnsi="Times New Roman" w:eastAsia="Arial Unicode MS"/>
          <w:spacing w:val="30"/>
          <w:sz w:val="32"/>
        </w:rPr>
        <w:t xml:space="preserve">                   г. Ставрополь                  №</w:t>
      </w:r>
      <w:r>
        <w:rPr>
          <w:rFonts w:ascii="Times New Roman" w:hAnsi="Times New Roman" w:eastAsia="Arial Unicode MS"/>
          <w:spacing w:val="30"/>
          <w:sz w:val="32"/>
        </w:rPr>
        <w:t xml:space="preserve"> 2360</w:t>
      </w:r>
      <w:r>
        <w:rPr>
          <w:rFonts w:ascii="Times New Roman" w:hAnsi="Times New Roman" w:eastAsia="Arial Unicode MS"/>
          <w:spacing w:val="30"/>
          <w:sz w:val="32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Arial Unicode MS"/>
          <w:spacing w:val="30"/>
          <w:sz w:val="32"/>
        </w:rPr>
      </w:pPr>
    </w:p>
    <w:p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 xml:space="preserve">муниципальной программы «Управление муниципальными финансами и муниципальным долгом города Ставрополя»</w:t>
      </w:r>
      <w:r>
        <w:rPr>
          <w:rFonts w:ascii="Times New Roman" w:hAnsi="Times New Roman"/>
          <w:sz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Бюджетным</w:t>
      </w:r>
      <w:r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едеральным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28 июня 2014 г. № 172-ФЗ «О стратегическом планировании в Российской Федерации»,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2</w:t>
      </w:r>
      <w:r>
        <w:rPr>
          <w:rFonts w:ascii="Times New Roman" w:hAnsi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/>
          <w:sz w:val="28"/>
          <w:szCs w:val="28"/>
          <w:lang w:eastAsia="ru-RU"/>
        </w:rPr>
        <w:t xml:space="preserve">.201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 № 23</w:t>
      </w:r>
      <w:r>
        <w:rPr>
          <w:rFonts w:ascii="Times New Roman" w:hAnsi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/>
          <w:sz w:val="28"/>
          <w:szCs w:val="28"/>
          <w:lang w:eastAsia="ru-RU"/>
        </w:rPr>
        <w:t xml:space="preserve">2 «</w:t>
      </w:r>
      <w:r>
        <w:rPr>
          <w:rFonts w:ascii="Times New Roman" w:hAnsi="Times New Roman"/>
          <w:spacing w:val="-1"/>
          <w:sz w:val="28"/>
          <w:szCs w:val="28"/>
        </w:rPr>
        <w:t xml:space="preserve">О Порядке </w:t>
      </w:r>
      <w:r>
        <w:rPr>
          <w:rFonts w:ascii="Times New Roman" w:hAnsi="Times New Roman"/>
          <w:spacing w:val="-1"/>
          <w:sz w:val="28"/>
          <w:szCs w:val="28"/>
        </w:rPr>
        <w:t xml:space="preserve">принятия решения о </w:t>
      </w:r>
      <w:r>
        <w:rPr>
          <w:rFonts w:ascii="Times New Roman" w:hAnsi="Times New Roman"/>
          <w:spacing w:val="-1"/>
          <w:sz w:val="28"/>
          <w:szCs w:val="28"/>
        </w:rPr>
        <w:t xml:space="preserve">разработк</w:t>
      </w:r>
      <w:r>
        <w:rPr>
          <w:rFonts w:ascii="Times New Roman" w:hAnsi="Times New Roman"/>
          <w:spacing w:val="-1"/>
          <w:sz w:val="28"/>
          <w:szCs w:val="28"/>
        </w:rPr>
        <w:t xml:space="preserve">е</w:t>
      </w:r>
      <w:r>
        <w:rPr>
          <w:rFonts w:ascii="Times New Roman" w:hAnsi="Times New Roman"/>
          <w:spacing w:val="-1"/>
          <w:sz w:val="28"/>
          <w:szCs w:val="28"/>
        </w:rPr>
        <w:t xml:space="preserve"> муниципальных программ, их формирования и реализации»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ПОСТАНОВЛЯЮ:</w:t>
      </w:r>
    </w:p>
    <w:p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муниципальную программу «Управление муниципальными финансами и муниципальным долгом города Ставрополя»</w:t>
      </w:r>
      <w:r>
        <w:rPr>
          <w:rFonts w:ascii="Times New Roman" w:hAnsi="Times New Roman"/>
          <w:sz w:val="28"/>
        </w:rPr>
        <w:t xml:space="preserve"> согласно приложению</w:t>
      </w:r>
      <w:r>
        <w:rPr>
          <w:rFonts w:ascii="Times New Roman" w:hAnsi="Times New Roman"/>
          <w:sz w:val="28"/>
        </w:rPr>
        <w:t xml:space="preserve">.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 xml:space="preserve">01 января 20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Разместить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руководителя комитета финансов и бюджета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Бондаренко Н.А.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И.И. Ульянченко</w:t>
      </w:r>
    </w:p>
    <w:p/>
    <w:p/>
    <w:p/>
    <w:p>
      <w:pPr>
        <w:sectPr>
          <w:headerReference w:type="default" r:id="rId9"/>
          <w:pgSz w:w="11907" w:h="16840"/>
          <w:pgMar w:top="1418" w:right="567" w:bottom="1134" w:left="1985" w:header="709" w:footer="709" w:gutter="0"/>
          <w:cols w:space="708"/>
          <w:docGrid w:linePitch="360"/>
          <w:titlePg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>
        <w:tc>
          <w:tcPr>
            <w:tcW w:w="2660" w:type="dxa"/>
          </w:tcPr>
          <w:p>
            <w:pPr>
              <w:spacing w:after="0" w:line="24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</w:p>
          <w:p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Ставрополя</w:t>
            </w:r>
          </w:p>
          <w:p>
            <w:pPr>
              <w:spacing w:after="0" w:line="240" w:lineRule="exact"/>
              <w:ind w:left="2585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03.11.2022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shd w:val="clear" w:color="auto" w:fill="ffffff"/>
        <w:tabs>
          <w:tab w:val="left" w:pos="851"/>
        </w:tabs>
        <w:spacing w:after="0" w:line="240" w:lineRule="auto"/>
        <w:ind w:right="14" w:firstLine="709"/>
        <w:jc w:val="center"/>
        <w:rPr>
          <w:rFonts w:ascii="Times New Roman" w:hAnsi="Times New Roman"/>
          <w:spacing w:val="-2"/>
          <w:sz w:val="24"/>
          <w:szCs w:val="27"/>
        </w:rPr>
      </w:pPr>
    </w:p>
    <w:p>
      <w:pPr>
        <w:shd w:val="clear" w:color="auto" w:fill="ffffff"/>
        <w:tabs>
          <w:tab w:val="left" w:pos="851"/>
        </w:tabs>
        <w:spacing w:after="0" w:line="240" w:lineRule="exact"/>
        <w:ind w:right="14" w:firstLine="709"/>
        <w:jc w:val="center"/>
        <w:rPr>
          <w:rFonts w:ascii="Times New Roman" w:hAnsi="Times New Roman"/>
          <w:caps/>
          <w:spacing w:val="-2"/>
          <w:sz w:val="28"/>
          <w:szCs w:val="28"/>
        </w:rPr>
      </w:pPr>
      <w:r>
        <w:rPr>
          <w:rFonts w:ascii="Times New Roman" w:hAnsi="Times New Roman"/>
          <w:caps/>
          <w:spacing w:val="-2"/>
          <w:sz w:val="28"/>
          <w:szCs w:val="28"/>
        </w:rPr>
        <w:t xml:space="preserve">Муниципальная программа</w:t>
      </w:r>
    </w:p>
    <w:p>
      <w:pPr>
        <w:spacing w:after="0" w:line="240" w:lineRule="exact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Управление муниципальными финансами и муниципальным долгом города Ставрополя»</w:t>
      </w:r>
    </w:p>
    <w:p>
      <w:pPr>
        <w:spacing w:after="0" w:line="240" w:lineRule="exact"/>
        <w:ind w:firstLine="709"/>
        <w:jc w:val="center"/>
        <w:rPr>
          <w:rFonts w:ascii="Times New Roman" w:hAnsi="Times New Roman"/>
          <w:caps/>
          <w:sz w:val="27"/>
          <w:szCs w:val="27"/>
        </w:rPr>
      </w:pPr>
    </w:p>
    <w:p>
      <w:pPr>
        <w:shd w:val="clear" w:color="auto" w:fill="ffffff"/>
        <w:tabs>
          <w:tab w:val="left" w:pos="851"/>
        </w:tabs>
        <w:spacing w:after="0" w:line="240" w:lineRule="exact"/>
        <w:ind w:right="11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ПАСПОРТ</w:t>
      </w:r>
    </w:p>
    <w:p>
      <w:pPr>
        <w:shd w:val="clear" w:color="auto" w:fill="ffffff"/>
        <w:tabs>
          <w:tab w:val="left" w:pos="851"/>
        </w:tabs>
        <w:spacing w:after="0" w:line="240" w:lineRule="exact"/>
        <w:ind w:right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муниципальной программы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</w:p>
    <w:p>
      <w:pPr>
        <w:shd w:val="clear" w:color="auto" w:fill="ffffff"/>
        <w:tabs>
          <w:tab w:val="left" w:pos="851"/>
        </w:tabs>
        <w:spacing w:after="0" w:line="240" w:lineRule="exact"/>
        <w:ind w:right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муниципальным долгом города Ставрополя»</w:t>
      </w: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268"/>
        <w:gridCol w:w="7092"/>
      </w:tblGrid>
      <w:tr>
        <w:tc>
          <w:tcPr>
            <w:tcW w:w="2268" w:type="dxa"/>
          </w:tcPr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программы</w:t>
            </w:r>
          </w:p>
        </w:tc>
        <w:tc>
          <w:tcPr>
            <w:tcW w:w="7092" w:type="dxa"/>
          </w:tcPr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муниципальными финансами и муниципальным долгом города Ставрополя»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рограмма)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>
        <w:tc>
          <w:tcPr>
            <w:tcW w:w="2268" w:type="dxa"/>
          </w:tcPr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рограммы</w:t>
            </w:r>
          </w:p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2" w:type="dxa"/>
          </w:tcPr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финансов и бюджета администрации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комитет финансов и бюджета)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c>
          <w:tcPr>
            <w:tcW w:w="2268" w:type="dxa"/>
          </w:tcPr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рограммы</w:t>
            </w:r>
          </w:p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2" w:type="dxa"/>
          </w:tcPr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2268" w:type="dxa"/>
          </w:tcPr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рограммы</w:t>
            </w:r>
          </w:p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2" w:type="dxa"/>
          </w:tcPr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>
        <w:tc>
          <w:tcPr>
            <w:tcW w:w="2268" w:type="dxa"/>
          </w:tcPr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7092" w:type="dxa"/>
          </w:tcPr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долгосрочной сбалансированности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устойчивости бюджета города Ставрополя (далее – бюджет города), повышение качества управления муниципальными финансами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>
        <w:tc>
          <w:tcPr>
            <w:tcW w:w="2268" w:type="dxa"/>
          </w:tcPr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(индикаторы)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достижения цел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</w:t>
            </w:r>
          </w:p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темп роста налоговых и неналоговых доходов бюджета города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сравнению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предыдущ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коэффициент покрытия расходов бюджета города собственными средствами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 привлечения заемных средств;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долговой устойчивости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просроченной кредиторской задолженности в общем объеме расходов бюджета города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>
        <w:tc>
          <w:tcPr>
            <w:tcW w:w="2268" w:type="dxa"/>
          </w:tcPr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адачи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</w:t>
            </w:r>
          </w:p>
        </w:tc>
        <w:tc>
          <w:tcPr>
            <w:tcW w:w="7092" w:type="dxa"/>
          </w:tcPr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бюджета города за счет координации стратегического и бюджетного планирования;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налоговых и неналоговых доходов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бюджетной политики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повышени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эффективности использования бюджетных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взвешенной долговой политики города Ставрополя;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внутреннего муниципального финансового контроля и контроля в сфере закупок товаров, работ, услуг для обеспечения муниципальных нужд города Ставрополя;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прозрачности и открытости бюджета города и бюджетного процесса для граждан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>
        <w:tc>
          <w:tcPr>
            <w:tcW w:w="2268" w:type="dxa"/>
          </w:tcPr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</w:t>
            </w:r>
          </w:p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отклонение показателей утвержденного бюджета города на очередной финансовый год  от показателей бюджетного прогноза (в части расходов за счет средств бюджета города)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плана по налоговым и неналоговым доходам бюджета города;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налоговых и неналоговых доходов бюджета города (за исключением поступлений налоговых доходов по дополнительным нормативам отчислений) в общем объеме собственных доходов бюджета города (без учета субвенций);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доходов бюджета города (без учета безвозмездных поступлений) на душу населения;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тношение недоимки по налогам, зачисляемым в бюджет города, к сумме налоговых доходов бюджета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тношение объема просроченной кредиторской задолженности, сложившейся по расходам бюджета города, к общему объему расходов бюджета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ровень достижения целевых значений показателей, предусмотренных в дорожной карте Ставропольского края, по соотношению средней заработной платы работников учреждений культуры и педагогических работников муниципальных учреждений  дополнительного образования детей к средней заработной плате в Ставропольском крае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асходы бюджета города на содержание работников органов местного самоуправления в расчете на одного жителя муниципального образования города Ставрополя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собираемости по земельному налогу (отношение объема поступившего земельного налога к объему начисленного земельного налога);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муниципального долга города Ставрополя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(далее – муниципальный долг) в общем объеме доходов бюджета города без учета безвозмездных поступлений (безвозмездных поступлений и (или) поступлений налоговых доходов по дополнительным нормативам отчислений от налога на доходы физических лиц);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расходов на обслуживание муниципального долга в общем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годовая сумма платежей по погашению и обслуживанию муниципального долга, возникшего по состоянию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января очередного финансового года, без учета платежей, направляемых на досрочное погашение долговых обязательств со сроками погашения после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января года, следующего за очередным финансовым годом, в общем объеме налоговых и неналоговых доходов бюджета города  и дотаций из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соотношение объема проверенных средств бюджета города и общего объема расходов бюджета города на соответствующий финансовый год (без учета расходов по обслуживанию муниципального долга);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>
        <w:tc>
          <w:tcPr>
            <w:tcW w:w="2268" w:type="dxa"/>
          </w:tcPr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</w:p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8"/>
                <w:szCs w:val="23"/>
              </w:rPr>
            </w:pPr>
          </w:p>
        </w:tc>
        <w:tc>
          <w:tcPr>
            <w:tcW w:w="7092" w:type="dxa"/>
          </w:tcPr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>
        <w:tc>
          <w:tcPr>
            <w:tcW w:w="2268" w:type="dxa"/>
          </w:tcPr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</w:t>
            </w:r>
          </w:p>
        </w:tc>
        <w:tc>
          <w:tcPr>
            <w:tcW w:w="7092" w:type="dxa"/>
          </w:tcPr>
          <w:p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за счет средств бюджета города на реализацию Программы составляет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1 528 800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</w:t>
            </w:r>
          </w:p>
          <w:p>
            <w:pPr>
              <w:spacing w:after="0"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254 800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,00 тыс. рублей;</w:t>
            </w:r>
          </w:p>
          <w:p>
            <w:pPr>
              <w:spacing w:after="0"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254 800,00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рублей;</w:t>
            </w:r>
          </w:p>
          <w:p>
            <w:pPr>
              <w:spacing w:after="0"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254 800,00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</w:t>
            </w:r>
          </w:p>
          <w:p>
            <w:pPr>
              <w:spacing w:after="0"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254 800,00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рублей;</w:t>
            </w:r>
          </w:p>
          <w:p>
            <w:pPr>
              <w:spacing w:after="0"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254 800,00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рублей;</w:t>
            </w:r>
          </w:p>
          <w:p>
            <w:pPr>
              <w:spacing w:after="0"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254 800,00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</w:t>
            </w:r>
          </w:p>
          <w:p>
            <w:pPr>
              <w:spacing w:after="0" w:line="238" w:lineRule="auto"/>
              <w:ind w:firstLine="176"/>
              <w:jc w:val="both"/>
              <w:outlineLvl w:val="2"/>
              <w:rPr>
                <w:rFonts w:ascii="Times New Roman" w:hAnsi="Times New Roman"/>
                <w:sz w:val="28"/>
                <w:szCs w:val="23"/>
              </w:rPr>
            </w:pPr>
          </w:p>
        </w:tc>
      </w:tr>
      <w:tr>
        <w:tc>
          <w:tcPr>
            <w:tcW w:w="2268" w:type="dxa"/>
          </w:tcPr>
          <w:p>
            <w:pPr>
              <w:shd w:val="clear" w:color="auto" w:fill="ffffff"/>
              <w:tabs>
                <w:tab w:val="left" w:pos="851"/>
              </w:tabs>
              <w:spacing w:after="0"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</w:t>
            </w:r>
          </w:p>
        </w:tc>
        <w:tc>
          <w:tcPr>
            <w:tcW w:w="7092" w:type="dxa"/>
          </w:tcPr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темпов роста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поступлений налоговых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неналоговых доходов бюджета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сравнению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предыдущего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100,5 процента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2023 году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103 процентов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2028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spacing w:after="0" w:line="238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значения коэффициента покрытия расходов бюджета города собственными средствами без привлечения заемных средств с 0,9100 в 2023 году до 0,9180 в 2028 году;</w:t>
            </w:r>
          </w:p>
          <w:p>
            <w:pPr>
              <w:spacing w:after="0" w:line="238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отсутствие просроченной кредиторской задолженности в общем объеме расходов бюджета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>
            <w:pPr>
              <w:spacing w:after="0" w:line="238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сохранение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позиции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города Ставрополя в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группе муниципальных образований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высокой долговой устойчивостью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результатам оценки долговой устойчивости;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38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снижение отклонения показателей утвержденного бюджета города на очередной финансовый год от показателей прогноза (в части расходов за счет средств бюджета города) до уровня не более 16,5 процента; 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ежегодное (с 2021 года по 2028 год) выполнение плана по налоговым и неналоговым доходам бюджета города; 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ежегодное сохранение доли налоговых и неналоговых доходов бюджета города (за исключением поступлений налоговых доходов по дополнительным нормативам отчислений) в общем объеме собственных доходов бюджета города (без учета субвенций) в пределах от 55 до 70 процентов;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объема доходов бюджета города (без учета безвозмездных поступлений) на душу населения города Ставрополя с 12,4 тыс. рублей в 2021 году до 13,1 тыс. рублей в 2028 году;</w:t>
            </w:r>
          </w:p>
          <w:p>
            <w:pPr>
              <w:spacing w:after="0" w:line="238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снижение недоимки по налогам, зачисляемым в бюджет города, к сумме налоговых доходов бюджета города с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2,5 процента в 2023 году до 12 процентов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2028 году;</w:t>
            </w:r>
          </w:p>
          <w:p>
            <w:pPr>
              <w:spacing w:after="0" w:line="238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отсутствие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просроченной кредиторской задолженности, сложившейся по расходам бюджета города;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достигнутых в 2018 году соотношений заработной платы работников муниципальных учреждений, подпадающих под действие указов Президента Российской Федерации от 7 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2012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2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№ 597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«О мероприятиях по реализации государственной социальной политики», от 1 июня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2012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3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№ 761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«О национальной стратегии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действий в интересах детей на 2012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2017 годы» 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28 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2012 года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HYPERLINK "consultantplus://offline/ref=F5E06529D60FEBD3DE1FD48F65446402DB6C288AB648ACBFE6CD2D1003s6cDM"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№ 1688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некоторых мерах по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государственной политики в сфере защиты детей-сирот и детей, оставшихся без попечения родителей», к показателю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сдерживание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расходов бюджета города на содержание работников органов местного самоуправления в расчете на одного жителя муниципального образования города Ставрополя Ставропольского края; 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достижение значения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уровня собираемости по земельному налогу к 2024 году и сохранение его до 2028 года в размере не менее 90 процентов в условиях предоставления налоговых льгот (расходов) отдельным категориям налогоплательщиков;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ежегодное сохранение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оотношения объема проверенных средств бюджета города и общего объема расходов бюджета города на соответствующий финансовый год (без учета расходов по обслуживанию муниципального долга)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уровне 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менее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процентов;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бюджете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</w:t>
            </w:r>
          </w:p>
          <w:p>
            <w:pPr>
              <w:spacing w:after="0" w:line="238" w:lineRule="auto"/>
              <w:ind w:left="209"/>
              <w:jc w:val="both"/>
              <w:outlineLvl w:val="1"/>
              <w:rPr>
                <w:rFonts w:ascii="Times New Roman" w:hAnsi="Times New Roman"/>
                <w:sz w:val="16"/>
                <w:szCs w:val="28"/>
              </w:rPr>
            </w:pPr>
          </w:p>
        </w:tc>
      </w:tr>
    </w:tbl>
    <w:p>
      <w:pPr>
        <w:spacing w:after="0" w:line="238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О</w:t>
      </w:r>
      <w:r>
        <w:rPr>
          <w:rFonts w:ascii="Times New Roman" w:hAnsi="Times New Roman"/>
          <w:sz w:val="28"/>
          <w:szCs w:val="28"/>
        </w:rPr>
        <w:t xml:space="preserve">бщая характеристика текущего состояния </w:t>
      </w:r>
    </w:p>
    <w:p>
      <w:pPr>
        <w:spacing w:after="0" w:line="238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сферы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</w:t>
      </w:r>
      <w:r>
        <w:rPr>
          <w:rFonts w:ascii="Times New Roman" w:hAnsi="Times New Roman"/>
          <w:sz w:val="28"/>
          <w:szCs w:val="28"/>
        </w:rPr>
        <w:t xml:space="preserve">мы</w:t>
      </w:r>
      <w:r>
        <w:rPr>
          <w:rFonts w:ascii="Times New Roman" w:hAnsi="Times New Roman"/>
          <w:sz w:val="28"/>
          <w:szCs w:val="28"/>
        </w:rPr>
        <w:t xml:space="preserve"> и прогноз ее развития</w:t>
      </w:r>
    </w:p>
    <w:p>
      <w:pPr>
        <w:spacing w:after="0" w:line="238" w:lineRule="auto"/>
        <w:ind w:firstLine="709"/>
        <w:jc w:val="center"/>
        <w:outlineLvl w:val="1"/>
        <w:rPr>
          <w:rFonts w:ascii="Times New Roman" w:hAnsi="Times New Roman"/>
          <w:sz w:val="24"/>
          <w:szCs w:val="28"/>
        </w:rPr>
      </w:pPr>
    </w:p>
    <w:p>
      <w:pPr>
        <w:pStyle w:val="ConsPlusNormal"/>
        <w:spacing w:line="238" w:lineRule="auto"/>
        <w:ind w:firstLine="709"/>
        <w:jc w:val="both"/>
      </w:pPr>
      <w:r>
        <w:t xml:space="preserve"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сферы, а также достижения других стратегических целей социально-экономического развития города </w:t>
      </w:r>
      <w:r>
        <w:t xml:space="preserve">Ставрополя</w:t>
      </w:r>
      <w:r>
        <w:t xml:space="preserve">.</w:t>
      </w:r>
    </w:p>
    <w:p>
      <w:pPr>
        <w:pStyle w:val="ConsPlusNormal"/>
        <w:spacing w:line="238" w:lineRule="auto"/>
        <w:ind w:firstLine="709"/>
        <w:jc w:val="both"/>
      </w:pPr>
      <w:r>
        <w:t xml:space="preserve">В 201</w:t>
      </w:r>
      <w:r>
        <w:t xml:space="preserve">7</w:t>
      </w:r>
      <w:r>
        <w:t xml:space="preserve"> - 20</w:t>
      </w:r>
      <w:r>
        <w:t xml:space="preserve">21</w:t>
      </w:r>
      <w:r>
        <w:t xml:space="preserve"> годах развитие бюджетной системы города Ставрополя осуществлялось в рамках муниципальной программы «Управление муниципальными финансами и муниципа</w:t>
      </w:r>
      <w:r>
        <w:t xml:space="preserve">льным долгом города Ставрополя</w:t>
      </w:r>
      <w:r>
        <w:t xml:space="preserve">».</w:t>
      </w:r>
    </w:p>
    <w:p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позволила сформировать нормативную правовую базу, способствующую оптимизации управления бюджетными средствами, повышению эффективности бюджетных расходов, переходу к бюджетированию, ориентированному на результат.</w:t>
      </w:r>
    </w:p>
    <w:p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нформация об основных показателях исполнения бюджета города за 201</w:t>
      </w:r>
      <w:r>
        <w:rPr>
          <w:rFonts w:ascii="Times New Roman" w:hAnsi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/>
          <w:sz w:val="28"/>
          <w:szCs w:val="28"/>
          <w:lang w:eastAsia="ru-RU"/>
        </w:rPr>
        <w:t xml:space="preserve"> - 20</w:t>
      </w:r>
      <w:r>
        <w:rPr>
          <w:rFonts w:ascii="Times New Roman" w:hAnsi="Times New Roman"/>
          <w:sz w:val="28"/>
          <w:szCs w:val="28"/>
          <w:lang w:eastAsia="ru-RU"/>
        </w:rPr>
        <w:t xml:space="preserve">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 приведена в таблице.</w:t>
      </w:r>
    </w:p>
    <w:p>
      <w:pPr>
        <w:spacing w:after="0" w:line="238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38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ИНФОРМАЦИЯ</w:t>
      </w:r>
    </w:p>
    <w:p>
      <w:pPr>
        <w:spacing w:after="0" w:line="238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об основных показателях исполнения бюджета города за 2018 – 2021 годы</w:t>
      </w:r>
    </w:p>
    <w:p>
      <w:pPr>
        <w:spacing w:after="0" w:line="23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38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/>
          <w:sz w:val="28"/>
          <w:szCs w:val="28"/>
          <w:lang w:eastAsia="ru-RU"/>
        </w:rPr>
        <w:t xml:space="preserve">млн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935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566"/>
        <w:gridCol w:w="1396"/>
        <w:gridCol w:w="1417"/>
        <w:gridCol w:w="1418"/>
        <w:gridCol w:w="1559"/>
      </w:tblGrid>
      <w:tr>
        <w:trPr>
          <w:trHeight w:val="339"/>
        </w:trPr>
        <w:tc>
          <w:tcPr>
            <w:tcW w:w="3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основного показателя</w:t>
            </w:r>
          </w:p>
        </w:tc>
        <w:tc>
          <w:tcPr>
            <w:tcW w:w="5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Исполнение</w:t>
            </w:r>
          </w:p>
        </w:tc>
      </w:tr>
      <w:tr>
        <w:trPr>
          <w:trHeight w:val="361"/>
        </w:trPr>
        <w:tc>
          <w:tcPr>
            <w:tcW w:w="356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2018 год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2019 год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2020 год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год</w:t>
            </w:r>
          </w:p>
        </w:tc>
      </w:tr>
    </w:tbl>
    <w:p>
      <w:pPr>
        <w:spacing w:after="0" w:line="238" w:lineRule="auto"/>
        <w:jc w:val="right"/>
        <w:rPr>
          <w:rFonts w:ascii="Times New Roman" w:hAnsi="Times New Roman"/>
          <w:sz w:val="2"/>
          <w:szCs w:val="2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418"/>
        <w:gridCol w:w="1559"/>
      </w:tblGrid>
      <w:tr>
        <w:trPr>
          <w:trHeight w:val="177"/>
        </w:trPr>
        <w:tc>
          <w:tcPr>
            <w:tcW w:w="3544" w:type="dxa"/>
          </w:tcPr>
          <w:p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Доходы, всего,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10 237,5</w:t>
            </w:r>
          </w:p>
        </w:tc>
        <w:tc>
          <w:tcPr>
            <w:tcW w:w="1417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12 466,6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14 221,6</w:t>
            </w:r>
          </w:p>
        </w:tc>
        <w:tc>
          <w:tcPr>
            <w:tcW w:w="1559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16 533,4</w:t>
            </w:r>
          </w:p>
        </w:tc>
      </w:tr>
      <w:tr>
        <w:tc>
          <w:tcPr>
            <w:tcW w:w="3544" w:type="dxa"/>
          </w:tcPr>
          <w:p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>
            <w:pPr>
              <w:spacing w:after="0" w:line="238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38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171"/>
        </w:trPr>
        <w:tc>
          <w:tcPr>
            <w:tcW w:w="3544" w:type="dxa"/>
          </w:tcPr>
          <w:p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налоговые и неналоговые доходы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3 823,5</w:t>
            </w:r>
          </w:p>
        </w:tc>
        <w:tc>
          <w:tcPr>
            <w:tcW w:w="1417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4 677,4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4 844,0</w:t>
            </w:r>
          </w:p>
        </w:tc>
        <w:tc>
          <w:tcPr>
            <w:tcW w:w="1559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5 704,5</w:t>
            </w:r>
          </w:p>
        </w:tc>
      </w:tr>
      <w:tr>
        <w:trPr>
          <w:trHeight w:val="271"/>
        </w:trPr>
        <w:tc>
          <w:tcPr>
            <w:tcW w:w="3544" w:type="dxa"/>
          </w:tcPr>
          <w:p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безвозмездные поступления,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6 414,0</w:t>
            </w:r>
          </w:p>
        </w:tc>
        <w:tc>
          <w:tcPr>
            <w:tcW w:w="1417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7 789,2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9 377,6</w:t>
            </w:r>
          </w:p>
        </w:tc>
        <w:tc>
          <w:tcPr>
            <w:tcW w:w="1559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10 828,9</w:t>
            </w:r>
          </w:p>
        </w:tc>
      </w:tr>
      <w:tr>
        <w:tc>
          <w:tcPr>
            <w:tcW w:w="3544" w:type="dxa"/>
          </w:tcPr>
          <w:p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них дотации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13,2</w:t>
            </w:r>
          </w:p>
        </w:tc>
        <w:tc>
          <w:tcPr>
            <w:tcW w:w="1417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29,7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273,7</w:t>
            </w:r>
          </w:p>
        </w:tc>
        <w:tc>
          <w:tcPr>
            <w:tcW w:w="1559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32,2</w:t>
            </w:r>
          </w:p>
        </w:tc>
      </w:tr>
      <w:tr>
        <w:tc>
          <w:tcPr>
            <w:tcW w:w="3544" w:type="dxa"/>
          </w:tcPr>
          <w:p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Расходы, всего,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10 525,5</w:t>
            </w:r>
          </w:p>
        </w:tc>
        <w:tc>
          <w:tcPr>
            <w:tcW w:w="1417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12 925,3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14 122,7</w:t>
            </w:r>
          </w:p>
        </w:tc>
        <w:tc>
          <w:tcPr>
            <w:tcW w:w="1559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16 358,9</w:t>
            </w:r>
          </w:p>
        </w:tc>
      </w:tr>
      <w:tr>
        <w:trPr>
          <w:trHeight w:val="96"/>
        </w:trPr>
        <w:tc>
          <w:tcPr>
            <w:tcW w:w="3544" w:type="dxa"/>
          </w:tcPr>
          <w:p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3544" w:type="dxa"/>
          </w:tcPr>
          <w:p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счет налоговых и неналоговых доходов и источников финансирования дефицита бюджета города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4 298,0</w:t>
            </w:r>
          </w:p>
        </w:tc>
        <w:tc>
          <w:tcPr>
            <w:tcW w:w="1417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5 128,5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5 073,0</w:t>
            </w:r>
          </w:p>
        </w:tc>
        <w:tc>
          <w:tcPr>
            <w:tcW w:w="1559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5 452,6</w:t>
            </w:r>
          </w:p>
        </w:tc>
      </w:tr>
      <w:tr>
        <w:trPr>
          <w:trHeight w:val="253"/>
        </w:trPr>
        <w:tc>
          <w:tcPr>
            <w:tcW w:w="3544" w:type="dxa"/>
          </w:tcPr>
          <w:p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счет безвозмездных поступлений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6 227,5</w:t>
            </w:r>
          </w:p>
        </w:tc>
        <w:tc>
          <w:tcPr>
            <w:tcW w:w="1417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7 796,8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9 049,7</w:t>
            </w:r>
          </w:p>
        </w:tc>
        <w:tc>
          <w:tcPr>
            <w:tcW w:w="1559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10 906,3</w:t>
            </w:r>
          </w:p>
        </w:tc>
      </w:tr>
      <w:tr>
        <w:trPr>
          <w:trHeight w:val="313"/>
        </w:trPr>
        <w:tc>
          <w:tcPr>
            <w:tcW w:w="3544" w:type="dxa"/>
          </w:tcPr>
          <w:p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Дефицит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(-) /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профицит (+)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-288,0</w:t>
            </w:r>
          </w:p>
        </w:tc>
        <w:tc>
          <w:tcPr>
            <w:tcW w:w="1417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-458,7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98,9</w:t>
            </w:r>
          </w:p>
        </w:tc>
        <w:tc>
          <w:tcPr>
            <w:tcW w:w="1559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174,5</w:t>
            </w:r>
          </w:p>
        </w:tc>
      </w:tr>
      <w:tr>
        <w:tc>
          <w:tcPr>
            <w:tcW w:w="3544" w:type="dxa"/>
          </w:tcPr>
          <w:p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муниципального долга 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1 671,9</w:t>
            </w:r>
          </w:p>
        </w:tc>
        <w:tc>
          <w:tcPr>
            <w:tcW w:w="1417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2 125,3</w:t>
            </w:r>
          </w:p>
        </w:tc>
        <w:tc>
          <w:tcPr>
            <w:tcW w:w="1418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2 123,5</w:t>
            </w:r>
          </w:p>
        </w:tc>
        <w:tc>
          <w:tcPr>
            <w:tcW w:w="1559" w:type="dxa"/>
          </w:tcPr>
          <w:p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2 098,5</w:t>
            </w:r>
          </w:p>
        </w:tc>
      </w:tr>
    </w:tbl>
    <w:p>
      <w:pPr>
        <w:spacing w:after="0" w:line="23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Сопоставление динамики изменений объемов доходов и расходов бюджета города за последние годы свидетельствует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о положительной динамике </w:t>
      </w:r>
      <w:r>
        <w:rPr>
          <w:rFonts w:ascii="Times New Roman" w:hAnsi="Times New Roman"/>
          <w:sz w:val="28"/>
          <w:szCs w:val="28"/>
          <w:lang w:eastAsia="ru-RU"/>
        </w:rPr>
        <w:t xml:space="preserve">темпов роста доходов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в сравнении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темп</w:t>
      </w:r>
      <w:r>
        <w:rPr>
          <w:rFonts w:ascii="Times New Roman" w:hAnsi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роста расходов.</w:t>
      </w:r>
    </w:p>
    <w:p>
      <w:pPr>
        <w:spacing w:after="0"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201</w:t>
      </w:r>
      <w:r>
        <w:rPr>
          <w:rFonts w:ascii="Times New Roman" w:hAnsi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20</w:t>
      </w:r>
      <w:r>
        <w:rPr>
          <w:rFonts w:ascii="Times New Roman" w:hAnsi="Times New Roman"/>
          <w:sz w:val="28"/>
          <w:szCs w:val="28"/>
          <w:lang w:eastAsia="ru-RU"/>
        </w:rPr>
        <w:t xml:space="preserve">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расходы бюджета города за счет налоговых и неналоговых доходов бюджета города и источников финанси</w:t>
      </w:r>
      <w:r>
        <w:rPr>
          <w:rFonts w:ascii="Times New Roman" w:hAnsi="Times New Roman"/>
          <w:sz w:val="28"/>
          <w:szCs w:val="28"/>
          <w:lang w:eastAsia="ru-RU"/>
        </w:rPr>
        <w:t xml:space="preserve">рования дефицита бюджета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увеличились на </w:t>
      </w:r>
      <w:r>
        <w:rPr>
          <w:rFonts w:ascii="Times New Roman" w:hAnsi="Times New Roman"/>
          <w:sz w:val="28"/>
          <w:szCs w:val="28"/>
          <w:lang w:eastAsia="ru-RU"/>
        </w:rPr>
        <w:t xml:space="preserve">26,9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, налоговые и неналоговые доходы бюджета города - на </w:t>
      </w:r>
      <w:r>
        <w:rPr>
          <w:rFonts w:ascii="Times New Roman" w:hAnsi="Times New Roman"/>
          <w:sz w:val="28"/>
          <w:szCs w:val="28"/>
          <w:lang w:eastAsia="ru-RU"/>
        </w:rPr>
        <w:t xml:space="preserve">49,2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 Темп прироста по 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превысил темп прироста 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расходам в 1,8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раза.</w:t>
      </w:r>
    </w:p>
    <w:p>
      <w:pPr>
        <w:spacing w:after="0"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опережающую динамику роста расходов повлияло в числе прочих факторов увеличение расходов бюджета города на исполнение решений, принятых на федеральном уровне («дорожные карты» по обеспечению уровня заработной платы отдельным категориям работников муниципальных учреждений в сфере образования, культуры, физической культуры и спорта, увеличение минимального размера оплаты труда (с 01 </w:t>
      </w:r>
      <w:r>
        <w:rPr>
          <w:rFonts w:ascii="Times New Roman" w:hAnsi="Times New Roman"/>
          <w:sz w:val="28"/>
          <w:szCs w:val="28"/>
          <w:lang w:eastAsia="ru-RU"/>
        </w:rPr>
        <w:t xml:space="preserve"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до </w:t>
      </w:r>
      <w:r>
        <w:rPr>
          <w:rFonts w:ascii="Times New Roman" w:hAnsi="Times New Roman"/>
          <w:sz w:val="28"/>
          <w:szCs w:val="28"/>
          <w:lang w:eastAsia="ru-RU"/>
        </w:rPr>
        <w:t xml:space="preserve">9489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рублей, с </w:t>
      </w:r>
      <w:r>
        <w:rPr>
          <w:rFonts w:ascii="Times New Roman" w:hAnsi="Times New Roman"/>
          <w:sz w:val="28"/>
          <w:szCs w:val="28"/>
          <w:lang w:eastAsia="ru-RU"/>
        </w:rPr>
        <w:t xml:space="preserve">01 мая 2018 года до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11163 рублей, с </w:t>
      </w:r>
      <w:r>
        <w:rPr>
          <w:rFonts w:ascii="Times New Roman" w:hAnsi="Times New Roman"/>
          <w:sz w:val="28"/>
          <w:szCs w:val="28"/>
          <w:lang w:eastAsia="ru-RU"/>
        </w:rPr>
        <w:t xml:space="preserve">01 </w:t>
      </w:r>
      <w:r>
        <w:rPr>
          <w:rFonts w:ascii="Times New Roman" w:hAnsi="Times New Roman"/>
          <w:sz w:val="28"/>
          <w:szCs w:val="28"/>
          <w:lang w:eastAsia="ru-RU"/>
        </w:rPr>
        <w:t xml:space="preserve"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до </w:t>
      </w:r>
      <w:r>
        <w:rPr>
          <w:rFonts w:ascii="Times New Roman" w:hAnsi="Times New Roman"/>
          <w:sz w:val="28"/>
          <w:szCs w:val="28"/>
          <w:lang w:eastAsia="ru-RU"/>
        </w:rPr>
        <w:t xml:space="preserve">11280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рублей, с 01 января 20</w:t>
      </w:r>
      <w:r>
        <w:rPr>
          <w:rFonts w:ascii="Times New Roman" w:hAnsi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до </w:t>
      </w:r>
      <w:r>
        <w:rPr>
          <w:rFonts w:ascii="Times New Roman" w:hAnsi="Times New Roman"/>
          <w:sz w:val="28"/>
          <w:szCs w:val="28"/>
          <w:lang w:eastAsia="ru-RU"/>
        </w:rPr>
        <w:t xml:space="preserve">12130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рублей, с</w:t>
      </w:r>
      <w:r>
        <w:rPr>
          <w:rFonts w:ascii="Times New Roman" w:hAnsi="Times New Roman"/>
          <w:sz w:val="28"/>
          <w:szCs w:val="28"/>
          <w:lang w:eastAsia="ru-RU"/>
        </w:rPr>
        <w:t xml:space="preserve"> 01 января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до 12792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>
      <w:pPr>
        <w:spacing w:after="0"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обеспечения сбалансированности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постоянной основе проводятся мероприятия, направленные на обеспечение роста налоговых и неналоговых поступлений в бюджет города и повышение уровня их собираемости,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оптимизацию расходов, повышени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lang w:eastAsia="ru-RU"/>
        </w:rPr>
        <w:t xml:space="preserve"> эффективности расходов, концентрацию бюджетных ассигнований в рамках существующих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бюджетных ограничений на реализацию приоритетных направлений социально-экономического развития города Ставрополя.</w:t>
      </w:r>
    </w:p>
    <w:p>
      <w:pPr>
        <w:spacing w:after="0"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постоянной основе проводится мониторинг расходных обязательств города Ставрополя в целях оценки возможности уменьшения объема бюджетных средств, направляемых на их исполнение.</w:t>
      </w:r>
    </w:p>
    <w:p>
      <w:pPr>
        <w:spacing w:after="0"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Одним из направлений сокращения расходов бюджета города является минимизация затрат на обеспечение функционирования органов местного самоуправления города 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рополя, в том числе посредством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установления запрета на увеличение численности муниципальных служащих города Ставрополя.</w:t>
      </w:r>
    </w:p>
    <w:p>
      <w:pPr>
        <w:spacing w:after="0"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fldChar w:fldCharType="begin"/>
      </w:r>
      <w:r>
        <w:instrText xml:space="preserve">HYPERLINK "consultantplus://offline/ref=6B63009A4A9ED5602129F44D4513BB20A4B5B85A3154037F53D333CCB4F49D88B0455123D8750324FE527BC699FBF11480x0bAM"</w:instrText>
      </w:r>
      <w:r>
        <w:fldChar w:fldCharType="separate"/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</w:t>
      </w:r>
      <w: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</w:t>
      </w:r>
      <w:r>
        <w:rPr>
          <w:rFonts w:ascii="Times New Roman" w:hAnsi="Times New Roman"/>
          <w:sz w:val="28"/>
          <w:szCs w:val="28"/>
          <w:lang w:eastAsia="ru-RU"/>
        </w:rPr>
        <w:t xml:space="preserve">29.07.2020</w:t>
      </w:r>
      <w:r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 xml:space="preserve">1211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О 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равилах определения нормативных затрат на обеспечение функций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Ставропольской городской Думы, к</w:t>
      </w:r>
      <w:r>
        <w:rPr>
          <w:rFonts w:ascii="Times New Roman" w:hAnsi="Times New Roman"/>
          <w:sz w:val="28"/>
          <w:szCs w:val="28"/>
          <w:lang w:eastAsia="ru-RU"/>
        </w:rPr>
        <w:t xml:space="preserve">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утверждены </w:t>
      </w:r>
      <w:hyperlink r:id="rId14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Правила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определения нормативных затрат на обеспечение функций Ставропольской городской Думы, 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 (далее - нормативные затраты). Применение нормативных затрат позволяет обеспечивать муниципальные нужды в необходимом объеме, но при этом не допускать закупку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>
      <w:pPr>
        <w:spacing w:after="0"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Ежегодно устанавливается запрет на использование экономии бюджетных ассигнований, сложившейся у главных распорядителей и получателей средств бюджета города по итогам определения конкурентными способами поставщиков (подрядчиков, исполнителей) для обеспечения муниципальных нужд, без внесения изменений в решение о бюджете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</w:p>
    <w:p>
      <w:pPr>
        <w:spacing w:after="0"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2020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в связи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введением комплекса ограничительных мер по снижению рисков распространения новой </w:t>
      </w:r>
      <w:r>
        <w:rPr>
          <w:rFonts w:ascii="Times New Roman" w:hAnsi="Times New Roman"/>
          <w:sz w:val="28"/>
          <w:szCs w:val="28"/>
          <w:lang w:eastAsia="ru-RU"/>
        </w:rPr>
        <w:t xml:space="preserve">коронавирусной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инфекции COVID-19 был утвержден план сокращения бюджета города на 2020 год на 20 процентов. </w:t>
      </w:r>
      <w:r>
        <w:rPr>
          <w:rFonts w:ascii="Times New Roman" w:hAnsi="Times New Roman"/>
          <w:sz w:val="28"/>
          <w:szCs w:val="28"/>
          <w:lang w:eastAsia="ru-RU"/>
        </w:rPr>
        <w:t xml:space="preserve">Был принят перечень приоритетных расходов бюджета города, в том числе:</w:t>
      </w:r>
    </w:p>
    <w:p>
      <w:pPr>
        <w:spacing w:after="0"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выплата заработной платы и социальных пособий;</w:t>
      </w:r>
    </w:p>
    <w:p>
      <w:pPr>
        <w:spacing w:after="0"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оплата налогов и коммунальных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платежей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</w:p>
    <w:p>
      <w:pPr>
        <w:spacing w:after="0"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софинансирование участия в государственных программах.</w:t>
      </w:r>
    </w:p>
    <w:p>
      <w:pPr>
        <w:spacing w:after="0"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среднесрочной перспективе н</w:t>
      </w:r>
      <w:r>
        <w:rPr>
          <w:rFonts w:ascii="Times New Roman" w:hAnsi="Times New Roman"/>
          <w:sz w:val="28"/>
          <w:szCs w:val="28"/>
          <w:lang w:eastAsia="ru-RU"/>
        </w:rPr>
        <w:t xml:space="preserve">еобходимо обеспечить дальнейшее 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совершенствование бюджетного планирования, повышение качества и эффективности программно-целевого метода планирования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основе внедрения проектных принципов управления, снижение долговой нагрузки.</w:t>
      </w:r>
    </w:p>
    <w:p>
      <w:pPr>
        <w:spacing w:after="0" w:line="238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Комплексный подход к выполнению задач в рамках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создаст необходимые условия и предпосылки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достижени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стратегических целей и задач </w:t>
      </w:r>
      <w:r>
        <w:rPr>
          <w:rFonts w:ascii="Times New Roman" w:hAnsi="Times New Roman"/>
          <w:sz w:val="28"/>
          <w:szCs w:val="28"/>
        </w:rPr>
        <w:t xml:space="preserve">социально-экономичес</w:t>
      </w:r>
      <w:r>
        <w:rPr>
          <w:rFonts w:ascii="Times New Roman" w:hAnsi="Times New Roman"/>
          <w:sz w:val="28"/>
          <w:szCs w:val="28"/>
        </w:rPr>
        <w:t xml:space="preserve">кого развития города Ставрополя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позволит эффективнее решать задачи по улучшению качества жизни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spacing w:after="0" w:line="238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>
      <w:pPr>
        <w:spacing w:after="0" w:line="23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Цел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и задачи </w:t>
      </w:r>
      <w:r>
        <w:rPr>
          <w:rFonts w:ascii="Times New Roman" w:hAnsi="Times New Roman"/>
          <w:sz w:val="28"/>
          <w:szCs w:val="28"/>
        </w:rPr>
        <w:t xml:space="preserve">Програм</w:t>
      </w:r>
      <w:r>
        <w:rPr>
          <w:rFonts w:ascii="Times New Roman" w:hAnsi="Times New Roman"/>
          <w:sz w:val="28"/>
          <w:szCs w:val="28"/>
        </w:rPr>
        <w:t xml:space="preserve">мы</w:t>
      </w:r>
    </w:p>
    <w:p>
      <w:pPr>
        <w:spacing w:after="0" w:line="238" w:lineRule="auto"/>
        <w:ind w:firstLine="709"/>
        <w:jc w:val="center"/>
        <w:rPr>
          <w:rFonts w:ascii="Times New Roman" w:hAnsi="Times New Roman"/>
          <w:sz w:val="24"/>
          <w:szCs w:val="26"/>
        </w:rPr>
      </w:pPr>
    </w:p>
    <w:p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является обеспечение долгосрочной сбалансированности и устойчивости бюджета города, повышение качества управления муниципальными финансами.</w:t>
      </w:r>
    </w:p>
    <w:p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указанной цели в рамках реализации Программы предусматривается решение следующих задач:</w:t>
      </w:r>
    </w:p>
    <w:p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долгосрочной сбалансированности и устойчивости бюджета города за счет координации стратегического и бюджетного планирования;</w:t>
      </w:r>
    </w:p>
    <w:p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налоговых и неналоговых доходов бюджета</w:t>
      </w:r>
      <w:r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бюджетной политики и повышение эффективности использования бюджетных средств;</w:t>
      </w:r>
    </w:p>
    <w:p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взвешенной долговой политики города Ставрополя;</w:t>
      </w:r>
    </w:p>
    <w:p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внутреннего муниципального финансового контроля и контроля в сфере закупок товаров, работ, услуг для обеспечения муниципальных</w:t>
      </w:r>
      <w:r>
        <w:rPr>
          <w:rFonts w:ascii="Times New Roman" w:hAnsi="Times New Roman"/>
          <w:sz w:val="28"/>
          <w:szCs w:val="28"/>
        </w:rPr>
        <w:t xml:space="preserve"> нужд города Ставрополя;</w:t>
      </w:r>
    </w:p>
    <w:p>
      <w:pPr>
        <w:pStyle w:val="ConsPlusNormal"/>
        <w:spacing w:line="238" w:lineRule="auto"/>
        <w:ind w:firstLine="709"/>
        <w:jc w:val="both"/>
        <w:outlineLvl w:val="0"/>
      </w:pPr>
      <w:r>
        <w:t xml:space="preserve">о</w:t>
      </w:r>
      <w:r>
        <w:t xml:space="preserve">беспечение прозрачности и открытости бюджета города и бюджетного процесса для граждан</w:t>
      </w:r>
      <w:r>
        <w:t xml:space="preserve">.</w:t>
      </w:r>
    </w:p>
    <w:p>
      <w:pPr>
        <w:widowControl w:val="off"/>
        <w:spacing w:after="0" w:line="238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>
      <w:pPr>
        <w:widowControl w:val="off"/>
        <w:spacing w:after="0" w:line="23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/>
          <w:sz w:val="28"/>
          <w:szCs w:val="28"/>
        </w:rPr>
        <w:t xml:space="preserve">Програм</w:t>
      </w:r>
      <w:r>
        <w:rPr>
          <w:rFonts w:ascii="Times New Roman" w:hAnsi="Times New Roman"/>
          <w:sz w:val="28"/>
          <w:szCs w:val="28"/>
        </w:rPr>
        <w:t xml:space="preserve">мы </w:t>
      </w:r>
    </w:p>
    <w:p>
      <w:pPr>
        <w:spacing w:after="0" w:line="238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/>
          <w:sz w:val="28"/>
          <w:szCs w:val="28"/>
        </w:rPr>
        <w:t xml:space="preserve">Програм</w:t>
      </w:r>
      <w:r>
        <w:rPr>
          <w:rFonts w:ascii="Times New Roman" w:hAnsi="Times New Roman"/>
          <w:sz w:val="28"/>
          <w:szCs w:val="28"/>
        </w:rPr>
        <w:t xml:space="preserve">мы –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>
      <w:pPr>
        <w:spacing w:after="0" w:line="238" w:lineRule="auto"/>
        <w:ind w:firstLine="709"/>
        <w:outlineLvl w:val="1"/>
        <w:rPr>
          <w:rFonts w:ascii="Times New Roman" w:hAnsi="Times New Roman"/>
          <w:sz w:val="24"/>
          <w:szCs w:val="26"/>
        </w:rPr>
      </w:pPr>
    </w:p>
    <w:p>
      <w:pPr>
        <w:spacing w:after="0" w:line="238" w:lineRule="auto"/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Перечень и общая </w:t>
      </w:r>
      <w:r>
        <w:rPr>
          <w:rFonts w:ascii="Times New Roman" w:hAnsi="Times New Roman"/>
          <w:sz w:val="28"/>
          <w:szCs w:val="28"/>
        </w:rPr>
        <w:t xml:space="preserve">характеристика </w:t>
      </w:r>
      <w:r>
        <w:rPr>
          <w:rFonts w:ascii="Times New Roman" w:hAnsi="Times New Roman"/>
          <w:sz w:val="28"/>
          <w:szCs w:val="28"/>
        </w:rPr>
        <w:t xml:space="preserve"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</w:t>
      </w:r>
      <w:r>
        <w:rPr>
          <w:rFonts w:ascii="Times New Roman" w:hAnsi="Times New Roman"/>
          <w:sz w:val="28"/>
          <w:szCs w:val="28"/>
        </w:rPr>
        <w:t xml:space="preserve">мы</w:t>
      </w:r>
    </w:p>
    <w:p>
      <w:pPr>
        <w:widowControl w:val="off"/>
        <w:spacing w:after="0" w:line="238" w:lineRule="auto"/>
        <w:ind w:firstLine="709"/>
        <w:jc w:val="both"/>
        <w:rPr>
          <w:rFonts w:ascii="Times New Roman" w:hAnsi="Times New Roman"/>
        </w:rPr>
      </w:pPr>
    </w:p>
    <w:p>
      <w:pPr>
        <w:widowControl w:val="off"/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 общая характеристика мероприятий </w:t>
      </w:r>
      <w:r>
        <w:rPr>
          <w:rFonts w:ascii="Times New Roman" w:hAnsi="Times New Roman"/>
          <w:sz w:val="28"/>
          <w:szCs w:val="28"/>
        </w:rPr>
        <w:t xml:space="preserve">Програм</w:t>
      </w:r>
      <w:r>
        <w:rPr>
          <w:rFonts w:ascii="Times New Roman" w:hAnsi="Times New Roman"/>
          <w:sz w:val="28"/>
          <w:szCs w:val="28"/>
        </w:rPr>
        <w:t xml:space="preserve">мы приведены в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риложении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Програм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е.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widowControl w:val="off"/>
        <w:spacing w:after="0" w:line="238" w:lineRule="auto"/>
        <w:ind w:firstLine="709"/>
        <w:jc w:val="both"/>
        <w:rPr>
          <w:rFonts w:ascii="Times New Roman" w:hAnsi="Times New Roman"/>
        </w:rPr>
      </w:pPr>
    </w:p>
    <w:p>
      <w:pPr>
        <w:widowControl w:val="off"/>
        <w:spacing w:after="0" w:line="238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Ресурсное обеспечение </w:t>
      </w:r>
      <w:r>
        <w:rPr>
          <w:rFonts w:ascii="Times New Roman" w:hAnsi="Times New Roman"/>
          <w:sz w:val="28"/>
          <w:szCs w:val="28"/>
        </w:rPr>
        <w:t xml:space="preserve">Програм</w:t>
      </w:r>
      <w:r>
        <w:rPr>
          <w:rFonts w:ascii="Times New Roman" w:hAnsi="Times New Roman"/>
          <w:sz w:val="28"/>
          <w:szCs w:val="28"/>
        </w:rPr>
        <w:t xml:space="preserve">мы</w:t>
      </w:r>
    </w:p>
    <w:p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lang w:eastAsia="ru-RU"/>
        </w:rPr>
      </w:pPr>
    </w:p>
    <w:p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Объем финансовых средств на реализацию Программы за счет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города на весь период действия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 528 </w:t>
      </w:r>
      <w:r>
        <w:rPr>
          <w:rFonts w:ascii="Times New Roman" w:hAnsi="Times New Roman"/>
          <w:sz w:val="28"/>
          <w:szCs w:val="28"/>
          <w:lang w:eastAsia="ru-RU"/>
        </w:rPr>
        <w:t xml:space="preserve">800,00 </w:t>
      </w:r>
      <w:r>
        <w:rPr>
          <w:rFonts w:ascii="Times New Roman" w:hAnsi="Times New Roman"/>
          <w:sz w:val="28"/>
          <w:szCs w:val="28"/>
        </w:rPr>
        <w:t xml:space="preserve">тыс. рублей, в том числе по годам:</w:t>
      </w:r>
    </w:p>
    <w:p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год – 254 800,00 тыс. рублей;</w:t>
      </w:r>
    </w:p>
    <w:p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год – 254 800,00 тыс. рублей;</w:t>
      </w:r>
    </w:p>
    <w:p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год – 254 800,00 тыс. рублей;</w:t>
      </w:r>
    </w:p>
    <w:p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год – 254 800,00 тыс. рублей;</w:t>
      </w:r>
    </w:p>
    <w:p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год – 254 800,00 тыс. рублей;</w:t>
      </w:r>
    </w:p>
    <w:p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год – 254 800,00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</w:p>
    <w:p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Объемы бюджетных ассигнований на реализацию Программы определяются решениями Ставропольской городской Думы о бюджете города на очередной финансовый год и плановый период. Финансирование Программы за счет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а также за счет внебюджетных источников не предусмотрено.</w:t>
      </w:r>
    </w:p>
    <w:p>
      <w:pPr>
        <w:spacing w:after="0" w:line="238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>
      <w:pPr>
        <w:spacing w:after="0" w:line="238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Система управления реализацией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</w:t>
      </w:r>
      <w:r>
        <w:rPr>
          <w:rFonts w:ascii="Times New Roman" w:hAnsi="Times New Roman"/>
          <w:sz w:val="28"/>
          <w:szCs w:val="28"/>
        </w:rPr>
        <w:t xml:space="preserve">мы</w:t>
      </w:r>
    </w:p>
    <w:p>
      <w:pPr>
        <w:spacing w:after="0" w:line="238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>
      <w:pPr>
        <w:spacing w:after="0" w:line="23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Програм</w:t>
      </w:r>
      <w:r>
        <w:rPr>
          <w:rFonts w:ascii="Times New Roman" w:hAnsi="Times New Roman"/>
          <w:sz w:val="28"/>
          <w:szCs w:val="28"/>
        </w:rPr>
        <w:t xml:space="preserve">мы осуществляется комитетом финансов и бюджета, являющимся ответственным исполнителем </w:t>
      </w:r>
      <w:r>
        <w:rPr>
          <w:rFonts w:ascii="Times New Roman" w:hAnsi="Times New Roman"/>
          <w:sz w:val="28"/>
          <w:szCs w:val="28"/>
        </w:rPr>
        <w:t xml:space="preserve">Програм</w:t>
      </w:r>
      <w:r>
        <w:rPr>
          <w:rFonts w:ascii="Times New Roman" w:hAnsi="Times New Roman"/>
          <w:sz w:val="28"/>
          <w:szCs w:val="28"/>
        </w:rPr>
        <w:t xml:space="preserve">мы.</w:t>
      </w:r>
    </w:p>
    <w:p>
      <w:pPr>
        <w:spacing w:after="0" w:line="23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и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ходом реализации </w:t>
      </w:r>
      <w:r>
        <w:rPr>
          <w:rFonts w:ascii="Times New Roman" w:hAnsi="Times New Roman"/>
          <w:sz w:val="28"/>
          <w:szCs w:val="28"/>
        </w:rPr>
        <w:t xml:space="preserve">Програм</w:t>
      </w:r>
      <w:r>
        <w:rPr>
          <w:rFonts w:ascii="Times New Roman" w:hAnsi="Times New Roman"/>
          <w:sz w:val="28"/>
          <w:szCs w:val="28"/>
        </w:rPr>
        <w:t xml:space="preserve">мы осуществляет заместитель главы администрации города Ставрополя, руководитель комитета финансов и бюджета администрации города Ставрополя.</w:t>
      </w:r>
    </w:p>
    <w:p>
      <w:pPr>
        <w:spacing w:after="0" w:line="23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финансов и бюджета ежегодно:</w:t>
      </w:r>
    </w:p>
    <w:p>
      <w:pPr>
        <w:spacing w:after="0" w:line="238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разрабатывает детальный план-график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</w:t>
      </w:r>
      <w:r>
        <w:rPr>
          <w:rFonts w:ascii="Times New Roman" w:hAnsi="Times New Roman"/>
          <w:sz w:val="28"/>
          <w:szCs w:val="28"/>
          <w:lang w:eastAsia="ru-RU"/>
        </w:rPr>
        <w:t xml:space="preserve">мы на очередной финансовый год </w:t>
      </w:r>
      <w:r>
        <w:rPr>
          <w:rFonts w:ascii="Times New Roman" w:hAnsi="Times New Roman"/>
          <w:sz w:val="28"/>
          <w:szCs w:val="28"/>
        </w:rPr>
        <w:t xml:space="preserve">по форме</w:t>
      </w:r>
      <w:r>
        <w:rPr>
          <w:rFonts w:ascii="Times New Roman" w:hAnsi="Times New Roman"/>
          <w:sz w:val="28"/>
          <w:szCs w:val="28"/>
        </w:rPr>
        <w:t xml:space="preserve">, приведенной в</w:t>
      </w:r>
      <w:r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 к Порядку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принятия решения 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разработк</w:t>
      </w:r>
      <w:r>
        <w:rPr>
          <w:rFonts w:ascii="Times New Roman" w:hAnsi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программ, их формирования и реализации</w:t>
      </w:r>
      <w:r>
        <w:rPr>
          <w:rFonts w:ascii="Times New Roman" w:hAnsi="Times New Roman"/>
          <w:sz w:val="28"/>
          <w:szCs w:val="28"/>
        </w:rPr>
        <w:t xml:space="preserve">, утвержденному постановлением администрации города Ставрополя от 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.201</w:t>
      </w:r>
      <w:r>
        <w:rPr>
          <w:rFonts w:ascii="Times New Roman" w:hAnsi="Times New Roman"/>
          <w:sz w:val="28"/>
          <w:szCs w:val="28"/>
        </w:rPr>
        <w:t xml:space="preserve">9 № 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38</w:t>
      </w:r>
      <w:r>
        <w:rPr>
          <w:rFonts w:ascii="Times New Roman" w:hAnsi="Times New Roman"/>
          <w:sz w:val="28"/>
          <w:szCs w:val="28"/>
        </w:rPr>
        <w:t xml:space="preserve">2, и направляет его в комитет 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и торговли</w:t>
      </w:r>
      <w:r>
        <w:rPr>
          <w:rFonts w:ascii="Times New Roman" w:hAnsi="Times New Roman"/>
          <w:sz w:val="28"/>
          <w:szCs w:val="28"/>
        </w:rPr>
        <w:t xml:space="preserve"> администрации города Ставрополя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согласование не позднее 01 декабря года, предшествующего очередному</w:t>
      </w:r>
      <w:r>
        <w:rPr>
          <w:rFonts w:ascii="Times New Roman" w:hAnsi="Times New Roman"/>
          <w:sz w:val="28"/>
          <w:szCs w:val="28"/>
        </w:rPr>
        <w:t xml:space="preserve"> финансовому году;</w:t>
      </w:r>
    </w:p>
    <w:p>
      <w:pPr>
        <w:widowControl w:val="off"/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утверждает детальный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план-график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</w:t>
      </w:r>
      <w:r>
        <w:rPr>
          <w:rFonts w:ascii="Times New Roman" w:hAnsi="Times New Roman"/>
          <w:sz w:val="28"/>
          <w:szCs w:val="28"/>
          <w:lang w:eastAsia="ru-RU"/>
        </w:rPr>
        <w:t xml:space="preserve">мы на очередной финансовый год, согласованный с комитетом экономического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торговли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Ставрополя, </w:t>
      </w:r>
      <w:r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года, предшествующего очередному</w:t>
      </w:r>
      <w:r>
        <w:rPr>
          <w:rFonts w:ascii="Times New Roman" w:hAnsi="Times New Roman"/>
          <w:sz w:val="28"/>
          <w:szCs w:val="28"/>
        </w:rPr>
        <w:t xml:space="preserve"> финансовому году;</w:t>
      </w:r>
    </w:p>
    <w:p>
      <w:pPr>
        <w:widowControl w:val="off"/>
        <w:spacing w:after="0" w:line="23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представляет в комитет 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и торговли</w:t>
      </w:r>
      <w:r>
        <w:rPr>
          <w:rFonts w:ascii="Times New Roman" w:hAnsi="Times New Roman"/>
          <w:sz w:val="28"/>
          <w:szCs w:val="28"/>
        </w:rPr>
        <w:t xml:space="preserve"> администрации города Ставрополя сводный годовой отчет о ходе реализации и об оценке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Програм</w:t>
      </w:r>
      <w:r>
        <w:rPr>
          <w:rFonts w:ascii="Times New Roman" w:hAnsi="Times New Roman"/>
          <w:sz w:val="28"/>
          <w:szCs w:val="28"/>
        </w:rPr>
        <w:t xml:space="preserve">мы до </w:t>
      </w: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</w:t>
      </w:r>
      <w:r>
        <w:rPr>
          <w:rFonts w:ascii="Times New Roman" w:hAnsi="Times New Roman"/>
          <w:sz w:val="28"/>
          <w:szCs w:val="28"/>
        </w:rPr>
        <w:t xml:space="preserve"> года, следующего за отчетным годом.</w:t>
      </w:r>
    </w:p>
    <w:p>
      <w:pPr>
        <w:pStyle w:val="ConsPlusNormal"/>
        <w:spacing w:line="238" w:lineRule="auto"/>
        <w:ind w:firstLine="709"/>
        <w:jc w:val="both"/>
      </w:pPr>
      <w:r>
        <w:t xml:space="preserve">Мониторинг и контроль реализации </w:t>
      </w:r>
      <w:r>
        <w:t xml:space="preserve">Програм</w:t>
      </w:r>
      <w:r>
        <w:t xml:space="preserve">мы осуществляются в порядке, установленном муниципальным нормативным правовым актом администрации города Ставрополя</w:t>
      </w:r>
      <w:r>
        <w:t xml:space="preserve">.</w:t>
      </w:r>
    </w:p>
    <w:p>
      <w:pPr>
        <w:spacing w:after="0" w:line="23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составе и значениях показателей (индикаторов) достижения цел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и решения задач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</w:t>
      </w:r>
      <w:r>
        <w:rPr>
          <w:rFonts w:ascii="Times New Roman" w:hAnsi="Times New Roman"/>
          <w:sz w:val="28"/>
          <w:szCs w:val="28"/>
        </w:rPr>
        <w:t xml:space="preserve">мы приведены в приложении 2 к Программе.</w:t>
      </w:r>
    </w:p>
    <w:p>
      <w:pPr>
        <w:widowControl w:val="off"/>
        <w:spacing w:after="0" w:line="23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весовых коэффициентах, присвоенных цел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и задачам </w:t>
      </w:r>
      <w:r>
        <w:rPr>
          <w:rFonts w:ascii="Times New Roman" w:hAnsi="Times New Roman"/>
          <w:sz w:val="28"/>
          <w:szCs w:val="28"/>
        </w:rPr>
        <w:t xml:space="preserve">Програм</w:t>
      </w:r>
      <w:r>
        <w:rPr>
          <w:rFonts w:ascii="Times New Roman" w:hAnsi="Times New Roman"/>
          <w:sz w:val="28"/>
          <w:szCs w:val="28"/>
        </w:rPr>
        <w:t xml:space="preserve">мы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приведены в приложении 3 к Программе.</w:t>
      </w:r>
    </w:p>
    <w:p>
      <w:pPr>
        <w:widowControl w:val="off"/>
        <w:spacing w:after="0" w:line="238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>
      <w:pPr>
        <w:widowControl w:val="off"/>
        <w:spacing w:after="0" w:line="238" w:lineRule="auto"/>
        <w:ind w:firstLine="709"/>
        <w:jc w:val="both"/>
        <w:rPr>
          <w:rFonts w:ascii="Times New Roman" w:hAnsi="Times New Roman"/>
          <w:sz w:val="44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c>
          <w:tcPr>
            <w:tcW w:w="4785" w:type="dxa"/>
            <w:shd w:val="clear" w:color="auto" w:fill="auto"/>
          </w:tcPr>
          <w:p>
            <w:pPr>
              <w:widowControl w:val="o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аместитель главы</w:t>
            </w:r>
          </w:p>
          <w:p>
            <w:pPr>
              <w:widowControl w:val="o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Ставрополя</w:t>
            </w:r>
          </w:p>
        </w:tc>
        <w:tc>
          <w:tcPr>
            <w:tcW w:w="4786" w:type="dxa"/>
            <w:shd w:val="clear" w:color="auto" w:fill="auto"/>
          </w:tcPr>
          <w:p>
            <w:pPr>
              <w:widowControl w:val="o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off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Зритнев</w:t>
            </w:r>
          </w:p>
        </w:tc>
      </w:tr>
    </w:tbl>
    <w:p>
      <w:pPr>
        <w:spacing w:after="0" w:line="240" w:lineRule="exact"/>
        <w:jc w:val="center"/>
        <w:outlineLvl w:val="2"/>
        <w:sectPr>
          <w:pgSz w:w="11907" w:h="16840"/>
          <w:pgMar w:top="1418" w:right="567" w:bottom="1134" w:left="1985" w:header="709" w:footer="709" w:gutter="0"/>
          <w:pgNumType w:start="1"/>
          <w:cols w:space="708"/>
          <w:docGrid w:linePitch="360"/>
          <w:titlePg/>
        </w:sectPr>
      </w:pPr>
    </w:p>
    <w:tbl>
      <w:tblPr>
        <w:tblW w:w="158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52"/>
        <w:gridCol w:w="10336"/>
      </w:tblGrid>
      <w:tr>
        <w:trPr>
          <w:trHeight w:val="1552"/>
        </w:trPr>
        <w:tc>
          <w:tcPr>
            <w:tcW w:w="5552" w:type="dxa"/>
          </w:tcPr>
          <w:p>
            <w:pPr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10336" w:type="dxa"/>
          </w:tcPr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</w:t>
            </w:r>
          </w:p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6105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6105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6105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финансами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6105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долгом города Ставрополя»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</w:t>
      </w:r>
    </w:p>
    <w:p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общая характеристика мероприятий муниципальной программы «Управление муниципальными финансами и муниципальным долгом города Ставрополя»</w:t>
      </w:r>
    </w:p>
    <w:p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134"/>
        <w:gridCol w:w="2126"/>
        <w:gridCol w:w="1134"/>
        <w:gridCol w:w="1134"/>
        <w:gridCol w:w="1134"/>
        <w:gridCol w:w="1134"/>
        <w:gridCol w:w="1134"/>
        <w:gridCol w:w="1134"/>
        <w:gridCol w:w="1134"/>
        <w:gridCol w:w="1560"/>
      </w:tblGrid>
      <w:tr>
        <w:trPr>
          <w:trHeight w:val="537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/п</w:t>
            </w:r>
          </w:p>
        </w:tc>
        <w:tc>
          <w:tcPr>
            <w:tcW w:w="25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основного мероприятия (мероприятия)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t xml:space="preserve">исполни тель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Обоснование выделения основного мероприятия (мероприятия)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 xml:space="preserve">исполне</w:t>
            </w:r>
            <w:r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ния</w:t>
            </w:r>
            <w:r>
              <w:rPr>
                <w:sz w:val="20"/>
                <w:szCs w:val="20"/>
              </w:rPr>
              <w:t xml:space="preserve"> (годы)</w:t>
            </w:r>
          </w:p>
        </w:tc>
        <w:tc>
          <w:tcPr>
            <w:tcW w:w="6804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(за счет средств бюджета города</w:t>
            </w:r>
            <w:r>
              <w:rPr>
                <w:sz w:val="20"/>
                <w:szCs w:val="20"/>
              </w:rPr>
              <w:t xml:space="preserve"> Ставрополя</w:t>
            </w:r>
            <w:r>
              <w:rPr>
                <w:sz w:val="20"/>
                <w:szCs w:val="20"/>
              </w:rPr>
              <w:t xml:space="preserve">)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Взаимосвязь с    </w:t>
            </w:r>
            <w:r>
              <w:rPr>
                <w:sz w:val="20"/>
                <w:szCs w:val="20"/>
              </w:rPr>
              <w:br/>
              <w:t xml:space="preserve">показателями (индикаторами)</w:t>
            </w:r>
            <w:r>
              <w:rPr>
                <w:sz w:val="20"/>
                <w:szCs w:val="20"/>
              </w:rPr>
              <w:br/>
              <w:t xml:space="preserve">Программы </w:t>
            </w:r>
          </w:p>
        </w:tc>
      </w:tr>
      <w:tr>
        <w:trPr>
          <w:trHeight w:val="258"/>
        </w:trPr>
        <w:tc>
          <w:tcPr>
            <w:tcW w:w="42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по годам:</w:t>
            </w: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168"/>
        </w:trPr>
        <w:tc>
          <w:tcPr>
            <w:tcW w:w="42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1560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>
      <w:pPr>
        <w:spacing w:after="0" w:line="14" w:lineRule="auto"/>
        <w:rPr>
          <w:sz w:val="2"/>
          <w:szCs w:val="2"/>
        </w:rPr>
      </w:pP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134"/>
        <w:gridCol w:w="2126"/>
        <w:gridCol w:w="1134"/>
        <w:gridCol w:w="1134"/>
        <w:gridCol w:w="1134"/>
        <w:gridCol w:w="1134"/>
        <w:gridCol w:w="1134"/>
        <w:gridCol w:w="1134"/>
        <w:gridCol w:w="1134"/>
        <w:gridCol w:w="1560"/>
      </w:tblGrid>
      <w:tr>
        <w:trPr>
          <w:cantSplit/>
          <w:trHeight w:val="20"/>
          <w:tblHeader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</w:p>
        </w:tc>
      </w:tr>
      <w:tr>
        <w:trPr>
          <w:cantSplit/>
          <w:trHeight w:val="394"/>
        </w:trPr>
        <w:tc>
          <w:tcPr>
            <w:tcW w:w="141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09"/>
              <w:jc w:val="both"/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Цель.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Обеспечение долгосрочной сбалансированности и устойчивости бюджета города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Ставрополя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повышение качества управления муниципальными финансами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1 - 4</w:t>
            </w:r>
            <w:r>
              <w:rPr>
                <w:sz w:val="20"/>
                <w:szCs w:val="20"/>
              </w:rPr>
              <w:t xml:space="preserve"> приложения 2 к Программе</w:t>
            </w:r>
          </w:p>
        </w:tc>
      </w:tr>
      <w:tr>
        <w:trPr>
          <w:cantSplit/>
          <w:trHeight w:val="394"/>
        </w:trPr>
        <w:tc>
          <w:tcPr>
            <w:tcW w:w="157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1. Обеспечение долгосрочной сбалансированности и устойчивости бюджета города Ставрополя за счет координации стратегического и бюджетного планирования</w:t>
            </w:r>
          </w:p>
        </w:tc>
      </w:tr>
      <w:tr>
        <w:trPr>
          <w:cantSplit/>
          <w:trHeight w:val="3198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</w:t>
            </w:r>
          </w:p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Координация стратегического и бюджетного планирования, создание инструментов долгосрочного бюджетного планирования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финансов и бюджета администрации города Ставрополя (далее - комитет финансов и бюджета)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бюджета города Ставрополя (далее - бюджет города) с учетом долгосрочного прогноза основных параметров бюджетной системы, основанных на реалистичных оценках, возможность оценки</w:t>
            </w:r>
            <w:r>
              <w:rPr>
                <w:sz w:val="20"/>
                <w:szCs w:val="20"/>
              </w:rPr>
              <w:t xml:space="preserve"> экономических последствий принимаемых</w:t>
            </w:r>
            <w:r>
              <w:rPr>
                <w:sz w:val="20"/>
                <w:szCs w:val="20"/>
              </w:rPr>
              <w:t xml:space="preserve"> решений, ограничение роста расходов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2023 - 2028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5 приложения 2 к Программе</w:t>
            </w:r>
          </w:p>
        </w:tc>
      </w:tr>
      <w:tr>
        <w:trPr>
          <w:cantSplit/>
          <w:trHeight w:val="1737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бюджета города, не обеспеченных надежными источниками доходов в долгосрочном периоде, повышение точности бюджетного планирования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</w:tr>
      <w:tr>
        <w:trPr>
          <w:cantSplit/>
          <w:trHeight w:val="159"/>
        </w:trPr>
        <w:tc>
          <w:tcPr>
            <w:tcW w:w="157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Увеличение налоговых и неналоговых доходов бюджета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города</w:t>
            </w:r>
          </w:p>
        </w:tc>
      </w:tr>
      <w:tr>
        <w:trPr>
          <w:cantSplit/>
          <w:trHeight w:val="1766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</w:p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поступления налоговых и неналоговых доходов бюджета города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финансов и бюджета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плановых показателей доходов бюджета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достижение устойчивой положительной динамики поступления доходов в бюджет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2023 - 2028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</w:t>
            </w:r>
            <w:r>
              <w:rPr>
                <w:sz w:val="20"/>
                <w:szCs w:val="20"/>
              </w:rPr>
              <w:t xml:space="preserve">ы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, 7 и</w:t>
            </w:r>
            <w:r>
              <w:rPr>
                <w:sz w:val="20"/>
                <w:szCs w:val="20"/>
              </w:rPr>
              <w:t xml:space="preserve"> 8 приложения 2 к Программе</w:t>
            </w:r>
          </w:p>
        </w:tc>
      </w:tr>
      <w:tr>
        <w:trPr>
          <w:cantSplit/>
          <w:trHeight w:val="1304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</w:p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комплексного плана мероприятий, направленных на увеличение роста доходов бюджета города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финансов и бюджета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мобилизация доходов в бюджет города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9 приложения 2 к Программе</w:t>
            </w:r>
          </w:p>
        </w:tc>
      </w:tr>
      <w:tr>
        <w:trPr>
          <w:cantSplit/>
          <w:trHeight w:val="20"/>
        </w:trPr>
        <w:tc>
          <w:tcPr>
            <w:tcW w:w="1573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3. </w:t>
            </w:r>
            <w:r>
              <w:rPr>
                <w:rFonts w:eastAsia="Calibri"/>
                <w:sz w:val="20"/>
                <w:szCs w:val="20"/>
              </w:rPr>
              <w:t xml:space="preserve">Совершенствование бюджетной политики и повышение эффективности использования бюджетных средств</w:t>
            </w:r>
          </w:p>
        </w:tc>
      </w:tr>
      <w:tr>
        <w:trPr>
          <w:cantSplit/>
          <w:trHeight w:val="1165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4.</w:t>
            </w:r>
          </w:p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программно-</w:t>
            </w:r>
          </w:p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целевых методов формирования бюджета города на очередной финансовый год и</w:t>
            </w:r>
            <w:r>
              <w:rPr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финансов и</w:t>
            </w:r>
          </w:p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бюджета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результативности</w:t>
            </w:r>
          </w:p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бюджетных расходов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2023 - 2028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10 </w:t>
            </w:r>
          </w:p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приложения 2</w:t>
            </w:r>
          </w:p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Программе</w:t>
            </w:r>
          </w:p>
        </w:tc>
      </w:tr>
      <w:tr>
        <w:trPr>
          <w:cantSplit/>
          <w:trHeight w:val="882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5.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качества  исполнения бюджета города по расходам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финансов и бюджета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бюджетных обязательств в полном объеме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2023 - 2028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 - 1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 приложения 2 к Программе</w:t>
            </w:r>
          </w:p>
        </w:tc>
      </w:tr>
      <w:tr>
        <w:trPr>
          <w:cantSplit/>
          <w:trHeight w:val="456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6.</w:t>
            </w:r>
          </w:p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</w:t>
            </w:r>
            <w:r>
              <w:rPr>
                <w:sz w:val="20"/>
                <w:szCs w:val="20"/>
              </w:rPr>
              <w:t xml:space="preserve">кредиторской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дебиторской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финансов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бюджета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недопущение образования </w:t>
            </w:r>
            <w:r>
              <w:rPr>
                <w:sz w:val="20"/>
                <w:szCs w:val="20"/>
              </w:rPr>
              <w:t xml:space="preserve">просроченной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2023 - 2028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приложения 2 к Программе</w:t>
            </w:r>
          </w:p>
        </w:tc>
      </w:tr>
      <w:tr>
        <w:trPr>
          <w:cantSplit/>
          <w:trHeight w:val="315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задолженности получателей средств бюджета города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кредиторской и дебиторской задолженности</w:t>
            </w:r>
          </w:p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получателей</w:t>
            </w:r>
          </w:p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 бюджета города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</w:tr>
      <w:tr>
        <w:trPr>
          <w:cantSplit/>
          <w:trHeight w:val="3238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Основное мероприятие 7.</w:t>
            </w:r>
          </w:p>
          <w:p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Оценка налоговых расходов города Ставрополя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комитет финансов и бюджета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формирование основных направлений бюджетной и налоговой политики города Ставрополя, проведение </w:t>
            </w:r>
            <w:r>
              <w:rPr>
                <w:sz w:val="19"/>
                <w:szCs w:val="19"/>
              </w:rPr>
              <w:t xml:space="preserve">оценки эффективности реализации муниципальных программ города Ставрополя</w:t>
            </w:r>
            <w:r>
              <w:rPr>
                <w:sz w:val="19"/>
                <w:szCs w:val="19"/>
              </w:rPr>
              <w:t xml:space="preserve"> с учетом оценки эффективности (целесообразности и результативности) налоговых расходов города Ставрополя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2023 - 2028 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пункт 1</w:t>
            </w:r>
            <w:r>
              <w:rPr>
                <w:sz w:val="19"/>
                <w:szCs w:val="19"/>
              </w:rPr>
              <w:t xml:space="preserve">3</w:t>
            </w:r>
            <w:r>
              <w:rPr>
                <w:sz w:val="19"/>
                <w:szCs w:val="19"/>
              </w:rPr>
              <w:t xml:space="preserve"> приложения 2 к Программе</w:t>
            </w:r>
          </w:p>
        </w:tc>
      </w:tr>
      <w:tr>
        <w:trPr>
          <w:cantSplit/>
          <w:trHeight w:val="20"/>
        </w:trPr>
        <w:tc>
          <w:tcPr>
            <w:tcW w:w="1573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4. Проведение взвешенной долговой политики города Ставрополя</w:t>
            </w:r>
          </w:p>
        </w:tc>
      </w:tr>
      <w:tr>
        <w:trPr>
          <w:cantSplit/>
          <w:trHeight w:val="1449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8.</w:t>
            </w:r>
          </w:p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исполнение обязательств по обслуживанию и погашению муниципального долга</w:t>
            </w:r>
            <w:r>
              <w:rPr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финансов и бюджета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поддержание оптимального объема и структуры заимствований, минимизация</w:t>
            </w:r>
          </w:p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расходов на обслуживание муниципального долга</w:t>
            </w:r>
            <w:r>
              <w:rPr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2023 - 2028 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254 800,00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254 800,00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254 800,00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254 800,00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254 800,00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254 800,00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-1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 приложения 2 к Программе</w:t>
            </w:r>
          </w:p>
        </w:tc>
      </w:tr>
      <w:tr>
        <w:trPr>
          <w:cantSplit/>
          <w:trHeight w:val="218"/>
        </w:trPr>
        <w:tc>
          <w:tcPr>
            <w:tcW w:w="1573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5. Совершенствование внутреннего муниципального финансового контроля и контроля в сфере закупок товаров, работ, услуг для обеспечения муниципальных нужд города Ставрополя</w:t>
            </w:r>
          </w:p>
        </w:tc>
      </w:tr>
      <w:tr>
        <w:trPr>
          <w:cantSplit/>
          <w:trHeight w:val="1028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spacing w:line="1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9. Организация и осуществление контроля в сфере закупок, товаров,</w:t>
            </w:r>
            <w:r>
              <w:rPr>
                <w:sz w:val="20"/>
                <w:szCs w:val="20"/>
              </w:rPr>
              <w:t xml:space="preserve"> работ услуг для обеспечения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финансов и бюджета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эффективности </w:t>
            </w:r>
            <w:r>
              <w:rPr>
                <w:sz w:val="20"/>
                <w:szCs w:val="20"/>
              </w:rPr>
              <w:t xml:space="preserve">контроля за</w:t>
            </w:r>
            <w:r>
              <w:rPr>
                <w:sz w:val="20"/>
                <w:szCs w:val="20"/>
              </w:rPr>
              <w:t xml:space="preserve"> соблюдением</w:t>
            </w:r>
            <w:r>
              <w:rPr>
                <w:sz w:val="20"/>
                <w:szCs w:val="20"/>
              </w:rPr>
              <w:t xml:space="preserve"> законодательства Российской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2023 - 2028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 приложения 2 к Программе</w:t>
            </w:r>
          </w:p>
        </w:tc>
      </w:tr>
      <w:tr>
        <w:trPr>
          <w:cantSplit/>
          <w:trHeight w:val="1028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spacing w:line="1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муниципальных нужд </w:t>
            </w:r>
            <w:r>
              <w:rPr>
                <w:sz w:val="20"/>
                <w:szCs w:val="20"/>
              </w:rPr>
              <w:t xml:space="preserve">города Ставрополя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и иных </w:t>
            </w:r>
            <w:r>
              <w:rPr>
                <w:sz w:val="20"/>
                <w:szCs w:val="20"/>
              </w:rPr>
              <w:t xml:space="preserve">нормативных правовых актов о </w:t>
            </w:r>
            <w:r>
              <w:rPr>
                <w:sz w:val="20"/>
                <w:szCs w:val="20"/>
              </w:rPr>
              <w:t xml:space="preserve">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</w:tr>
      <w:tr>
        <w:trPr>
          <w:cantSplit/>
          <w:trHeight w:val="1539"/>
        </w:trPr>
        <w:tc>
          <w:tcPr>
            <w:tcW w:w="4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10.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осуществление внутреннего муниципального финансового контроля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финансов и бюджета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законности и эффективности использования бюджетных средств, оптимизация расходов бюджета города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2023 - 2028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 приложения 2 к Программе</w:t>
            </w:r>
          </w:p>
        </w:tc>
      </w:tr>
      <w:tr>
        <w:trPr>
          <w:cantSplit/>
          <w:trHeight w:val="20"/>
        </w:trPr>
        <w:tc>
          <w:tcPr>
            <w:tcW w:w="1573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6. </w:t>
            </w:r>
            <w:r>
              <w:rPr>
                <w:rFonts w:eastAsia="Calibri"/>
                <w:sz w:val="20"/>
                <w:szCs w:val="20"/>
              </w:rPr>
              <w:t xml:space="preserve">Обеспечение прозрачности и открытости бюджета города и бюджетного процесса для граждан</w:t>
            </w:r>
          </w:p>
        </w:tc>
      </w:tr>
      <w:tr>
        <w:trPr>
          <w:cantSplit/>
          <w:trHeight w:val="1376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11. Подготовка и размещение аналитических материалов «Бюджет для граждан» в доступной для широкого круга пользователей форме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финансов и бюджета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доступность для граждан информации о бюджете города</w:t>
            </w:r>
          </w:p>
          <w:p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2023 - 2028 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18</w:t>
            </w:r>
            <w:r>
              <w:rPr>
                <w:sz w:val="20"/>
                <w:szCs w:val="20"/>
              </w:rPr>
              <w:t xml:space="preserve"> приложения 2 к Программе</w:t>
            </w:r>
          </w:p>
        </w:tc>
      </w:tr>
      <w:tr>
        <w:trPr>
          <w:cantSplit/>
          <w:trHeight w:val="160"/>
        </w:trPr>
        <w:tc>
          <w:tcPr>
            <w:tcW w:w="73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ind w:left="174" w:hanging="17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254 800,00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254 800,00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254 800,00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254 800,00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254 800,00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254 800,00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</w:tr>
    </w:tbl>
    <w:p>
      <w:pPr>
        <w:spacing w:after="0" w:line="240" w:lineRule="exact"/>
        <w:outlineLvl w:val="2"/>
      </w:pPr>
    </w:p>
    <w:p>
      <w:pPr>
        <w:spacing w:after="0" w:line="240" w:lineRule="exact"/>
        <w:outlineLvl w:val="2"/>
      </w:pPr>
    </w:p>
    <w:p>
      <w:pPr>
        <w:spacing w:after="0" w:line="240" w:lineRule="exact"/>
        <w:outlineLvl w:val="2"/>
      </w:pPr>
    </w:p>
    <w:p>
      <w:pPr>
        <w:spacing w:after="0" w:line="240" w:lineRule="exact"/>
        <w:outlineLvl w:val="2"/>
        <w:sectPr>
          <w:headerReference w:type="first" r:id="rId10"/>
          <w:pgSz w:w="16840" w:h="11907" w:orient="landscape"/>
          <w:pgMar w:top="1985" w:right="567" w:bottom="567" w:left="567" w:header="709" w:footer="709" w:gutter="0"/>
          <w:pgNumType w:start="1"/>
          <w:cols w:space="708"/>
          <w:docGrid w:linePitch="360"/>
          <w:titlePg/>
        </w:sectPr>
      </w:pPr>
    </w:p>
    <w:tbl>
      <w:tblPr>
        <w:tblW w:w="156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76"/>
        <w:gridCol w:w="10196"/>
      </w:tblGrid>
      <w:tr>
        <w:trPr>
          <w:trHeight w:val="1603"/>
        </w:trPr>
        <w:tc>
          <w:tcPr>
            <w:tcW w:w="5476" w:type="dxa"/>
          </w:tcPr>
          <w:p>
            <w:pPr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10196" w:type="dxa"/>
          </w:tcPr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618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</w:t>
            </w:r>
          </w:p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618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618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618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муниципальными</w:t>
            </w:r>
          </w:p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618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финансами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6181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долгом города Ставрополя»</w:t>
            </w:r>
          </w:p>
        </w:tc>
      </w:tr>
    </w:tbl>
    <w:p>
      <w:pPr>
        <w:spacing w:after="0" w:line="240" w:lineRule="auto"/>
        <w:ind w:firstLine="539"/>
        <w:outlineLvl w:val="2"/>
        <w:rPr>
          <w:rFonts w:ascii="Times New Roman" w:hAnsi="Times New Roman"/>
          <w:sz w:val="28"/>
          <w:szCs w:val="28"/>
        </w:rPr>
      </w:pPr>
    </w:p>
    <w:p>
      <w:pPr>
        <w:spacing w:line="240" w:lineRule="exact"/>
        <w:ind w:firstLine="540"/>
        <w:jc w:val="both"/>
        <w:outlineLvl w:val="1"/>
        <w:rPr>
          <w:sz w:val="28"/>
          <w:szCs w:val="28"/>
        </w:rPr>
      </w:pPr>
    </w:p>
    <w:p>
      <w:pPr>
        <w:spacing w:after="0" w:line="240" w:lineRule="exact"/>
        <w:ind w:firstLine="540"/>
        <w:jc w:val="both"/>
        <w:outlineLvl w:val="1"/>
        <w:rPr>
          <w:rFonts w:ascii="Times New Roman" w:hAnsi="Times New Roman"/>
          <w:sz w:val="24"/>
          <w:szCs w:val="28"/>
        </w:rPr>
      </w:pPr>
    </w:p>
    <w:p>
      <w:pPr>
        <w:spacing w:after="0" w:line="22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</w:t>
      </w:r>
    </w:p>
    <w:p>
      <w:pPr>
        <w:spacing w:after="0" w:line="22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составе и значениях показателей (индикаторов) достижения цели</w:t>
      </w:r>
      <w:r>
        <w:rPr>
          <w:rFonts w:ascii="Times New Roman" w:hAnsi="Times New Roman"/>
          <w:sz w:val="28"/>
          <w:szCs w:val="28"/>
        </w:rPr>
        <w:t xml:space="preserve"> и решения задач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«Управление муниципальными финансами и муниципальным долгом города Ставрополя»</w:t>
      </w:r>
    </w:p>
    <w:p>
      <w:pPr>
        <w:spacing w:after="0" w:line="22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3"/>
        <w:gridCol w:w="1134"/>
        <w:gridCol w:w="1134"/>
        <w:gridCol w:w="1134"/>
        <w:gridCol w:w="1276"/>
        <w:gridCol w:w="1276"/>
        <w:gridCol w:w="1275"/>
        <w:gridCol w:w="1276"/>
        <w:gridCol w:w="1276"/>
        <w:gridCol w:w="1276"/>
      </w:tblGrid>
      <w:tr>
        <w:trPr>
          <w:cantSplit/>
          <w:trHeight w:val="20"/>
        </w:trPr>
        <w:tc>
          <w:tcPr>
            <w:tcW w:w="4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/п</w:t>
            </w:r>
          </w:p>
        </w:tc>
        <w:tc>
          <w:tcPr>
            <w:tcW w:w="42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(индикатора)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 xml:space="preserve">достижения цели и показателя решения задач программы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</w:t>
            </w:r>
          </w:p>
        </w:tc>
        <w:tc>
          <w:tcPr>
            <w:tcW w:w="9923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 xml:space="preserve">достижения цели и показателя решения задач программы по годам</w:t>
            </w:r>
          </w:p>
        </w:tc>
      </w:tr>
      <w:tr>
        <w:trPr>
          <w:cantSplit/>
          <w:trHeight w:val="20"/>
        </w:trPr>
        <w:tc>
          <w:tcPr>
            <w:tcW w:w="42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</w:t>
            </w:r>
          </w:p>
        </w:tc>
      </w:tr>
    </w:tbl>
    <w:p>
      <w:pPr>
        <w:spacing w:after="0" w:line="14" w:lineRule="auto"/>
        <w:rPr>
          <w:rFonts w:ascii="Times New Roman" w:hAnsi="Times New Roman"/>
          <w:sz w:val="20"/>
          <w:szCs w:val="20"/>
        </w:rPr>
      </w:pPr>
    </w:p>
    <w:tbl>
      <w:tblPr>
        <w:tblW w:w="157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3"/>
        <w:gridCol w:w="1134"/>
        <w:gridCol w:w="1134"/>
        <w:gridCol w:w="1134"/>
        <w:gridCol w:w="1276"/>
        <w:gridCol w:w="1276"/>
        <w:gridCol w:w="1275"/>
        <w:gridCol w:w="1276"/>
        <w:gridCol w:w="1276"/>
        <w:gridCol w:w="1275"/>
      </w:tblGrid>
      <w:tr>
        <w:trPr>
          <w:cantSplit/>
          <w:trHeight w:val="20"/>
          <w:tblHeader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</w:p>
        </w:tc>
      </w:tr>
      <w:tr>
        <w:trPr>
          <w:cantSplit/>
          <w:trHeight w:val="20"/>
        </w:trPr>
        <w:tc>
          <w:tcPr>
            <w:tcW w:w="157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Цель. Обеспечение долгосрочной сбалансированности и устойчивости бюджета города Ставрополя, повышение качества управления муниципальными финансами</w:t>
            </w:r>
          </w:p>
        </w:tc>
      </w:tr>
      <w:tr>
        <w:trPr>
          <w:cantSplit/>
          <w:trHeight w:val="547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 роста налоговых и неналоговых  доходов бюджета города Ставрополя (далее - бюджет города) к предыдущему году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117,8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100,0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100,</w:t>
            </w: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10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,0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10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10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,0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102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10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,0</w:t>
            </w:r>
          </w:p>
        </w:tc>
      </w:tr>
      <w:tr>
        <w:trPr>
          <w:cantSplit/>
          <w:trHeight w:val="544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Коэффициент покрытия расходов бюджета города собственными средствами без привлечения заемных средств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циент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1,0461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0,9098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</w:p>
          <w:p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0,9100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</w:p>
          <w:p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0,9102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</w:p>
          <w:p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0,9105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</w:p>
          <w:p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0,9130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</w:p>
          <w:p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0,9155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</w:p>
          <w:p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0,9180</w:t>
            </w:r>
          </w:p>
        </w:tc>
      </w:tr>
      <w:tr>
        <w:trPr>
          <w:cantSplit/>
          <w:trHeight w:val="1404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Оценка долговой устойчивости города Ставрополя</w:t>
            </w:r>
          </w:p>
          <w:p>
            <w:pPr>
              <w:pStyle w:val="ConsPlusCell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заемщиков с высоким уровнем </w:t>
            </w:r>
            <w:r>
              <w:rPr>
                <w:sz w:val="20"/>
                <w:szCs w:val="20"/>
              </w:rPr>
              <w:t xml:space="preserve">долговой</w:t>
            </w:r>
            <w:r>
              <w:rPr>
                <w:sz w:val="20"/>
                <w:szCs w:val="20"/>
              </w:rPr>
              <w:t xml:space="preserve"> устойчивос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 «А»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заемщиков с высоким уровнем </w:t>
            </w:r>
            <w:r>
              <w:rPr>
                <w:sz w:val="20"/>
                <w:szCs w:val="20"/>
              </w:rPr>
              <w:t xml:space="preserve">долговой</w:t>
            </w:r>
            <w:r>
              <w:rPr>
                <w:sz w:val="20"/>
                <w:szCs w:val="20"/>
              </w:rPr>
              <w:t xml:space="preserve"> устойчивос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 «А»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заемщиков с высоким уровнем </w:t>
            </w:r>
            <w:r>
              <w:rPr>
                <w:sz w:val="20"/>
                <w:szCs w:val="20"/>
              </w:rPr>
              <w:t xml:space="preserve">долговой</w:t>
            </w:r>
            <w:r>
              <w:rPr>
                <w:sz w:val="20"/>
                <w:szCs w:val="20"/>
              </w:rPr>
              <w:t xml:space="preserve"> устойчивос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 «А»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заемщиков с высоким уровнем </w:t>
            </w:r>
            <w:r>
              <w:rPr>
                <w:sz w:val="20"/>
                <w:szCs w:val="20"/>
              </w:rPr>
              <w:t xml:space="preserve">долговой</w:t>
            </w:r>
            <w:r>
              <w:rPr>
                <w:sz w:val="20"/>
                <w:szCs w:val="20"/>
              </w:rPr>
              <w:t xml:space="preserve"> устойчивос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 «А»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заемщиков с высоким уровнем </w:t>
            </w:r>
            <w:r>
              <w:rPr>
                <w:sz w:val="20"/>
                <w:szCs w:val="20"/>
              </w:rPr>
              <w:t xml:space="preserve">долговой</w:t>
            </w:r>
            <w:r>
              <w:rPr>
                <w:sz w:val="20"/>
                <w:szCs w:val="20"/>
              </w:rPr>
              <w:t xml:space="preserve"> устойчивос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 «А»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заемщиков с высоким уровнем </w:t>
            </w:r>
            <w:r>
              <w:rPr>
                <w:sz w:val="20"/>
                <w:szCs w:val="20"/>
              </w:rPr>
              <w:t xml:space="preserve">долговой</w:t>
            </w:r>
            <w:r>
              <w:rPr>
                <w:sz w:val="20"/>
                <w:szCs w:val="20"/>
              </w:rPr>
              <w:t xml:space="preserve"> устойчивос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 «А»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заемщиков с высоким уровнем </w:t>
            </w:r>
            <w:r>
              <w:rPr>
                <w:sz w:val="20"/>
                <w:szCs w:val="20"/>
              </w:rPr>
              <w:t xml:space="preserve">долговой</w:t>
            </w:r>
            <w:r>
              <w:rPr>
                <w:sz w:val="20"/>
                <w:szCs w:val="20"/>
              </w:rPr>
              <w:t xml:space="preserve"> устойчивос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 «А»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заемщиков с высоким уровнем </w:t>
            </w:r>
            <w:r>
              <w:rPr>
                <w:sz w:val="20"/>
                <w:szCs w:val="20"/>
              </w:rPr>
              <w:t xml:space="preserve">долговой</w:t>
            </w:r>
            <w:r>
              <w:rPr>
                <w:sz w:val="20"/>
                <w:szCs w:val="20"/>
              </w:rPr>
              <w:t xml:space="preserve"> устойчивос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 «А»</w:t>
            </w:r>
          </w:p>
        </w:tc>
      </w:tr>
      <w:tr>
        <w:trPr>
          <w:cantSplit/>
          <w:trHeight w:val="350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просроченной кредиторской задолженности в общем объеме расходов бюджета города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</w:p>
        </w:tc>
      </w:tr>
      <w:tr>
        <w:trPr>
          <w:cantSplit/>
          <w:trHeight w:val="20"/>
        </w:trPr>
        <w:tc>
          <w:tcPr>
            <w:tcW w:w="157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1. О</w:t>
            </w:r>
            <w:r>
              <w:rPr>
                <w:sz w:val="20"/>
                <w:szCs w:val="20"/>
              </w:rPr>
              <w:t xml:space="preserve">беспечение долгосрочной сбалансированности и устойчивости бюджета города за счет координации стратегического и бюджетного планирования</w:t>
            </w:r>
          </w:p>
        </w:tc>
      </w:tr>
      <w:tr>
        <w:trPr>
          <w:cantSplit/>
          <w:trHeight w:val="20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Отклонение показателей утвержденного бюджета города на очередной финансовый год  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 xml:space="preserve">18,5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17,5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16,7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16,5</w:t>
            </w:r>
          </w:p>
        </w:tc>
      </w:tr>
      <w:tr>
        <w:trPr>
          <w:cantSplit/>
          <w:trHeight w:val="20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показателей бюджетного прогноза (в части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расходов за счет средств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бюджета города)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20"/>
        </w:trPr>
        <w:tc>
          <w:tcPr>
            <w:tcW w:w="157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Увеличение налоговых и неналоговых доходов бюджета</w:t>
            </w:r>
            <w:r>
              <w:rPr>
                <w:sz w:val="20"/>
                <w:szCs w:val="20"/>
              </w:rPr>
              <w:t xml:space="preserve"> города</w:t>
            </w:r>
          </w:p>
        </w:tc>
      </w:tr>
      <w:tr>
        <w:trPr>
          <w:cantSplit/>
          <w:trHeight w:val="442"/>
        </w:trPr>
        <w:tc>
          <w:tcPr>
            <w:tcW w:w="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42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плана по налоговым и неналоговым доходам бюджета города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101,6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right w:w="45" w:type="dxa"/>
            </w:tcMar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</w:p>
        </w:tc>
      </w:tr>
      <w:tr>
        <w:trPr>
          <w:cantSplit/>
          <w:trHeight w:val="20"/>
        </w:trPr>
        <w:tc>
          <w:tcPr>
            <w:tcW w:w="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42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widowControl/>
              <w:spacing w:line="20" w:lineRule="atLeas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налоговых и неналоговых доходов бюджета города (за исключением поступлений налоговых доходов по дополнительным нормативам отчислений) в общем объеме собственных доходов бюджета города (без учета субвенций)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58,1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55 до 70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55 до 70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55 до 70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55 до 70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right w:w="45" w:type="dxa"/>
            </w:tcMar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55 до 70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55 до 70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55 до 70</w:t>
            </w:r>
          </w:p>
        </w:tc>
      </w:tr>
      <w:tr>
        <w:trPr>
          <w:cantSplit/>
          <w:trHeight w:val="20"/>
        </w:trPr>
        <w:tc>
          <w:tcPr>
            <w:tcW w:w="4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доходов бюджета города (без учета безвозмездных поступлений) на душу населения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45" w:type="dxa"/>
              <w:right w:w="45" w:type="dxa"/>
            </w:tcMar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13,1</w:t>
            </w:r>
          </w:p>
        </w:tc>
      </w:tr>
      <w:tr>
        <w:trPr>
          <w:cantSplit/>
          <w:trHeight w:val="424"/>
        </w:trPr>
        <w:tc>
          <w:tcPr>
            <w:tcW w:w="4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недоимки по налогам, зачисляемым в бюджет города, к сумме налоговых доходов бюджета города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12,5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</w:t>
            </w:r>
          </w:p>
        </w:tc>
      </w:tr>
      <w:tr>
        <w:trPr>
          <w:cantSplit/>
          <w:trHeight w:val="158"/>
        </w:trPr>
        <w:tc>
          <w:tcPr>
            <w:tcW w:w="157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 xml:space="preserve">Совершенствование бюджетной политики и повышение эффективности использования бюджетных средств</w:t>
            </w:r>
          </w:p>
        </w:tc>
      </w:tr>
      <w:tr>
        <w:trPr>
          <w:cantSplit/>
          <w:trHeight w:val="238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spacing w:line="245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объема просроченной кредиторской задолженности, сложившейся по расходам бюджета города, к общему объему расходов бюджета города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</w:tr>
      <w:tr>
        <w:trPr>
          <w:cantSplit/>
          <w:trHeight w:val="260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достижения целевых значений показателей, предусмотренных в дорожной карте Ставропольского края, по соотношению средней заработной платы работников учреждений культуры и педагогических работников муниципальных учреждений  дополнительного образования детей и средней заработной платы в Ставропольском крае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</w:p>
        </w:tc>
      </w:tr>
      <w:tr>
        <w:trPr>
          <w:cantSplit/>
          <w:trHeight w:val="260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widowControl/>
              <w:spacing w:line="228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бюджета города на содержание работников органов местного самоуправления в расчете на одного жителя муниципального образования города Ставрополя Ставропольского края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рублей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1 206,3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83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1530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</w:t>
            </w:r>
            <w:r>
              <w:rPr>
                <w:sz w:val="20"/>
                <w:szCs w:val="20"/>
              </w:rPr>
              <w:t xml:space="preserve">560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159</w:t>
            </w: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</w:t>
            </w:r>
            <w:r>
              <w:rPr>
                <w:sz w:val="20"/>
                <w:szCs w:val="20"/>
              </w:rPr>
              <w:t xml:space="preserve">620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</w:t>
            </w:r>
            <w:r>
              <w:rPr>
                <w:sz w:val="20"/>
                <w:szCs w:val="20"/>
              </w:rPr>
              <w:t xml:space="preserve">650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</w:t>
            </w:r>
            <w:r>
              <w:rPr>
                <w:sz w:val="20"/>
                <w:szCs w:val="20"/>
              </w:rPr>
              <w:t xml:space="preserve">650</w:t>
            </w:r>
          </w:p>
        </w:tc>
      </w:tr>
      <w:tr>
        <w:trPr>
          <w:cantSplit/>
          <w:trHeight w:val="173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ind w:left="-43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собираемости по земельному налогу </w:t>
            </w:r>
            <w:r>
              <w:rPr>
                <w:sz w:val="20"/>
                <w:szCs w:val="20"/>
              </w:rPr>
              <w:t xml:space="preserve">(отношение объема поступившего земельного налога к объему начисленного земельного налога)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89,0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90</w:t>
            </w:r>
          </w:p>
          <w:p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90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90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90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90</w:t>
            </w:r>
          </w:p>
        </w:tc>
      </w:tr>
      <w:tr>
        <w:trPr>
          <w:cantSplit/>
          <w:trHeight w:val="138"/>
        </w:trPr>
        <w:tc>
          <w:tcPr>
            <w:tcW w:w="157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4. Проведение взвешенной долговой политики города Ставрополя</w:t>
            </w:r>
          </w:p>
        </w:tc>
      </w:tr>
      <w:tr>
        <w:trPr>
          <w:cantSplit/>
          <w:trHeight w:val="20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widowControl/>
              <w:spacing w:line="228" w:lineRule="auto"/>
              <w:outlineLvl w:val="1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 xml:space="preserve">Объем муниципального долга города Ставрополя (далее – муниципальный долг) в общем объеме доходов бюджета города без учета безвозмездных поступлений (безвозмездных поступлений и (или) поступлений налоговых доходов по дополнительным нормативам отчислений от налога на доходы физических лиц)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36,8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50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50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50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50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50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50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50</w:t>
            </w:r>
          </w:p>
        </w:tc>
      </w:tr>
      <w:tr>
        <w:trPr>
          <w:cantSplit/>
          <w:trHeight w:val="1115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расходов на обслуживание муниципального долга в общем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</w:tr>
      <w:tr>
        <w:trPr>
          <w:cantSplit/>
          <w:trHeight w:val="442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widowControl/>
              <w:spacing w:line="228" w:lineRule="auto"/>
              <w:outlineLvl w:val="1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 xml:space="preserve">Годовая сумма платежей по погашению и обслуживанию муниципального долга, возникшего по состоянию на 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1 января очередного финансового года, без учета платежей, направляемых на досрочное погашение долговых обязательств со сроками погашения после 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1 января года, следующего за очередным финансовым годом, в общем объеме налоговых и неналоговых доходов бюджета города  и дотаций из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1,4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</w:p>
        </w:tc>
      </w:tr>
      <w:tr>
        <w:trPr>
          <w:cantSplit/>
          <w:trHeight w:val="212"/>
        </w:trPr>
        <w:tc>
          <w:tcPr>
            <w:tcW w:w="157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5. Совершенствование внутреннего муниципального финансового контроля и контроля в сфере закупок товаров, работ, услуг для обеспечения муниципальных нужд города Ставрополя</w:t>
            </w:r>
          </w:p>
        </w:tc>
      </w:tr>
      <w:tr>
        <w:trPr>
          <w:cantSplit/>
          <w:trHeight w:val="1078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rPr>
                <w:sz w:val="6"/>
                <w:szCs w:val="10"/>
              </w:rPr>
            </w:pPr>
            <w:r>
              <w:rPr>
                <w:sz w:val="20"/>
                <w:szCs w:val="20"/>
              </w:rPr>
              <w:t xml:space="preserve">Соотношение объема проверенных средств бюджета города и общего объема расходов бюджета города на соответствующий финансовый год (без учета расходов по обслуживанию муниципального долга)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</w:tr>
      <w:tr>
        <w:trPr>
          <w:cantSplit/>
          <w:trHeight w:val="204"/>
        </w:trPr>
        <w:tc>
          <w:tcPr>
            <w:tcW w:w="157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6. </w:t>
            </w:r>
            <w:r>
              <w:rPr>
                <w:rFonts w:eastAsia="Calibri"/>
                <w:sz w:val="20"/>
                <w:szCs w:val="20"/>
              </w:rPr>
              <w:t xml:space="preserve">Обеспечение прозрачности и открытости бюджета города и бюджетного процесса для граждан</w:t>
            </w:r>
          </w:p>
        </w:tc>
      </w:tr>
      <w:tr>
        <w:trPr>
          <w:cantSplit/>
          <w:trHeight w:val="627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Размещение информации о бюджете города в социальных сетях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размеще                                         ний</w:t>
            </w:r>
            <w:r>
              <w:rPr>
                <w:sz w:val="20"/>
                <w:szCs w:val="20"/>
              </w:rPr>
              <w:t xml:space="preserve"> в год 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</w:p>
        </w:tc>
      </w:tr>
    </w:tbl>
    <w:p>
      <w:pPr>
        <w:spacing w:after="0" w:line="14" w:lineRule="auto"/>
        <w:rPr>
          <w:rFonts w:ascii="Times New Roman" w:hAnsi="Times New Roman"/>
          <w:sz w:val="20"/>
          <w:szCs w:val="20"/>
        </w:rPr>
      </w:pPr>
    </w:p>
    <w:p>
      <w:pPr>
        <w:spacing w:after="0" w:line="14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exact"/>
        <w:outlineLvl w:val="2"/>
      </w:pPr>
    </w:p>
    <w:p>
      <w:pPr>
        <w:spacing w:after="0" w:line="240" w:lineRule="exact"/>
        <w:outlineLvl w:val="2"/>
        <w:sectPr>
          <w:pgSz w:w="16840" w:h="11907" w:orient="landscape"/>
          <w:pgMar w:top="1985" w:right="1418" w:bottom="567" w:left="567" w:header="709" w:footer="709" w:gutter="0"/>
          <w:pgNumType w:start="1"/>
          <w:cols w:space="708"/>
          <w:docGrid w:linePitch="360"/>
          <w:titlePg/>
        </w:sectPr>
      </w:pPr>
    </w:p>
    <w:tbl>
      <w:tblPr>
        <w:tblW w:w="9698" w:type="dxa"/>
        <w:tblLook w:val="04A0" w:firstRow="1" w:lastRow="0" w:firstColumn="1" w:lastColumn="0" w:noHBand="0" w:noVBand="1"/>
      </w:tblPr>
      <w:tblGrid>
        <w:gridCol w:w="3369"/>
        <w:gridCol w:w="6329"/>
      </w:tblGrid>
      <w:tr>
        <w:tc>
          <w:tcPr>
            <w:tcW w:w="3369" w:type="dxa"/>
          </w:tcPr>
          <w:p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</w:tcPr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финансами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exact"/>
              <w:ind w:left="2233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долгом города Ставрополя»</w:t>
            </w:r>
          </w:p>
        </w:tc>
      </w:tr>
    </w:tbl>
    <w:p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2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</w:p>
    <w:p>
      <w:pPr>
        <w:widowControl w:val="off"/>
        <w:spacing w:after="0" w:line="22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весовых коэффициентах, присвоенных цели и задачам муниципальной программы «Управление муниципальными финансами и муниципальным долгом города Ставрополя»</w:t>
      </w:r>
    </w:p>
    <w:p>
      <w:pPr>
        <w:widowControl w:val="off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outlineLvl w:val="2"/>
        <w:rPr>
          <w:sz w:val="2"/>
          <w:szCs w:val="2"/>
        </w:rPr>
      </w:pP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3895"/>
        <w:gridCol w:w="992"/>
        <w:gridCol w:w="850"/>
        <w:gridCol w:w="709"/>
        <w:gridCol w:w="851"/>
        <w:gridCol w:w="850"/>
        <w:gridCol w:w="816"/>
      </w:tblGrid>
      <w:tr>
        <w:tc>
          <w:tcPr>
            <w:tcW w:w="60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/п</w:t>
            </w:r>
          </w:p>
        </w:tc>
        <w:tc>
          <w:tcPr>
            <w:tcW w:w="3895" w:type="dxa"/>
            <w:vMerge w:val="restart"/>
          </w:tcPr>
          <w:p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 Программы, задачи Программы</w:t>
            </w:r>
          </w:p>
        </w:tc>
        <w:tc>
          <w:tcPr>
            <w:tcW w:w="5068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Значения весовых коэффициентов, присвоенных цел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Программы и задачам Программы по годам</w:t>
            </w:r>
          </w:p>
        </w:tc>
      </w:tr>
      <w:tr>
        <w:tc>
          <w:tcPr>
            <w:tcW w:w="60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5" w:type="dxa"/>
            <w:vMerge w:val="continue"/>
          </w:tcPr>
          <w:p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</w:t>
            </w:r>
          </w:p>
        </w:tc>
        <w:tc>
          <w:tcPr>
            <w:tcW w:w="8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</w:t>
            </w:r>
          </w:p>
        </w:tc>
      </w:tr>
      <w:tr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</w:t>
            </w:r>
          </w:p>
        </w:tc>
        <w:tc>
          <w:tcPr>
            <w:tcW w:w="3895" w:type="dxa"/>
          </w:tcPr>
          <w:p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Обеспечение долгосрочной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сбалансированности и устойчив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ости бюджета города Ставрополя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(далее - бюджет города)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повышение качества управления муниципальными финансами</w:t>
            </w:r>
          </w:p>
        </w:tc>
        <w:tc>
          <w:tcPr>
            <w:tcW w:w="992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1,00</w:t>
            </w:r>
          </w:p>
        </w:tc>
        <w:tc>
          <w:tcPr>
            <w:tcW w:w="850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1,00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1,00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1,00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1,00</w:t>
            </w:r>
          </w:p>
        </w:tc>
        <w:tc>
          <w:tcPr>
            <w:tcW w:w="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1,00</w:t>
            </w:r>
          </w:p>
        </w:tc>
      </w:tr>
      <w:tr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</w:t>
            </w:r>
          </w:p>
        </w:tc>
        <w:tc>
          <w:tcPr>
            <w:tcW w:w="3895" w:type="dxa"/>
          </w:tcPr>
          <w:p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адача 1.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беспечение долгосрочной сбалансированности и устойчивости бюджета города за счет координации стратегического и бюджетного планирования</w:t>
            </w:r>
          </w:p>
        </w:tc>
        <w:tc>
          <w:tcPr>
            <w:tcW w:w="992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0,15</w:t>
            </w:r>
          </w:p>
        </w:tc>
        <w:tc>
          <w:tcPr>
            <w:tcW w:w="850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0,15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0,15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0,15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0,15</w:t>
            </w:r>
          </w:p>
        </w:tc>
        <w:tc>
          <w:tcPr>
            <w:tcW w:w="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0,15</w:t>
            </w:r>
          </w:p>
        </w:tc>
      </w:tr>
      <w:tr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</w:t>
            </w:r>
          </w:p>
        </w:tc>
        <w:tc>
          <w:tcPr>
            <w:tcW w:w="3895" w:type="dxa"/>
          </w:tcPr>
          <w:p>
            <w:pPr>
              <w:spacing w:after="0" w:line="240" w:lineRule="exact"/>
              <w:contextualSpacing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адача 2.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Увеличение налоговых и неналоговых доходов бюджета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992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0,20</w:t>
            </w:r>
          </w:p>
        </w:tc>
        <w:tc>
          <w:tcPr>
            <w:tcW w:w="850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0,20</w:t>
            </w:r>
          </w:p>
        </w:tc>
        <w:tc>
          <w:tcPr>
            <w:tcW w:w="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0,20</w:t>
            </w:r>
          </w:p>
        </w:tc>
      </w:tr>
      <w:tr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</w:t>
            </w:r>
          </w:p>
        </w:tc>
        <w:tc>
          <w:tcPr>
            <w:tcW w:w="3895" w:type="dxa"/>
          </w:tcPr>
          <w:p>
            <w:pPr>
              <w:spacing w:after="0" w:line="240" w:lineRule="exact"/>
              <w:contextualSpacing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адача 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бюджетной политики и повышение эффективности использования бюджетных средств</w:t>
            </w:r>
          </w:p>
        </w:tc>
        <w:tc>
          <w:tcPr>
            <w:tcW w:w="992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0,25</w:t>
            </w:r>
          </w:p>
        </w:tc>
        <w:tc>
          <w:tcPr>
            <w:tcW w:w="850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</w:t>
            </w:r>
          </w:p>
        </w:tc>
        <w:tc>
          <w:tcPr>
            <w:tcW w:w="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</w:t>
            </w:r>
          </w:p>
        </w:tc>
      </w:tr>
      <w:tr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</w:t>
            </w:r>
          </w:p>
        </w:tc>
        <w:tc>
          <w:tcPr>
            <w:tcW w:w="3895" w:type="dxa"/>
          </w:tcPr>
          <w:p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адача 4. Проведение взвешенной долговой политики города Ставрополя</w:t>
            </w:r>
          </w:p>
        </w:tc>
        <w:tc>
          <w:tcPr>
            <w:tcW w:w="992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0,20</w:t>
            </w:r>
          </w:p>
        </w:tc>
        <w:tc>
          <w:tcPr>
            <w:tcW w:w="850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0,20</w:t>
            </w:r>
          </w:p>
        </w:tc>
        <w:tc>
          <w:tcPr>
            <w:tcW w:w="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0,20</w:t>
            </w:r>
          </w:p>
        </w:tc>
      </w:tr>
      <w:tr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</w:t>
            </w:r>
          </w:p>
        </w:tc>
        <w:tc>
          <w:tcPr>
            <w:tcW w:w="3895" w:type="dxa"/>
          </w:tcPr>
          <w:p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адача 5.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внутреннего муниципального финансового контроля и контроля в сфере закупок товаров, работ, услуг для обеспечения муниципальных нужд города Ставрополя</w:t>
            </w:r>
          </w:p>
        </w:tc>
        <w:tc>
          <w:tcPr>
            <w:tcW w:w="992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0,15</w:t>
            </w:r>
          </w:p>
        </w:tc>
        <w:tc>
          <w:tcPr>
            <w:tcW w:w="850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0,15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0,15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0,15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0,15</w:t>
            </w:r>
          </w:p>
        </w:tc>
        <w:tc>
          <w:tcPr>
            <w:tcW w:w="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0,15</w:t>
            </w:r>
          </w:p>
        </w:tc>
      </w:tr>
      <w:tr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6)</w:t>
            </w:r>
          </w:p>
        </w:tc>
        <w:tc>
          <w:tcPr>
            <w:tcW w:w="3895" w:type="dxa"/>
          </w:tcPr>
          <w:p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адача 6.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прозрачности и открытости бюджета города и б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юджетного процесса для граждан</w:t>
            </w:r>
          </w:p>
        </w:tc>
        <w:tc>
          <w:tcPr>
            <w:tcW w:w="992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0,05</w:t>
            </w:r>
          </w:p>
        </w:tc>
        <w:tc>
          <w:tcPr>
            <w:tcW w:w="850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0,05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0,05</w:t>
            </w:r>
          </w:p>
        </w:tc>
      </w:tr>
    </w:tbl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exact"/>
        <w:outlineLvl w:val="2"/>
      </w:pPr>
    </w:p>
    <w:sectPr>
      <w:pgSz w:w="11907" w:h="16840"/>
      <w:pgMar w:top="1418" w:right="567" w:bottom="1134" w:left="1985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Arial Unicode MS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  \* MERGEFORMAT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3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multiLevelType w:val="hybridMultilevel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3" w:default="1">
    <w:name w:val="No List"/>
    <w:uiPriority w:val="99"/>
    <w:semiHidden/>
    <w:unhideWhenUsed/>
  </w:style>
  <w:style w:type="paragraph" w:styleId="ConsPlusCell" w:customStyle="1">
    <w:name w:val="ConsPlusCell"/>
    <w:uiPriority w:val="99"/>
    <w:pPr>
      <w:widowControl w:val="off"/>
    </w:pPr>
    <w:rPr>
      <w:rFonts w:ascii="Times New Roman" w:hAnsi="Times New Roman" w:eastAsia="Times New Roman"/>
      <w:sz w:val="28"/>
      <w:szCs w:val="28"/>
    </w:rPr>
  </w:style>
  <w:style w:type="table" w:styleId="a4">
    <w:name w:val="Table Grid"/>
    <w:basedOn w:val="a2"/>
    <w:uiPriority w:val="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5">
    <w:name w:val="No Spacing"/>
    <w:uiPriority w:val="1"/>
    <w:qFormat/>
    <w:pPr>
      <w:ind w:firstLine="709"/>
    </w:pPr>
    <w:rPr>
      <w:rFonts w:ascii="Times New Roman" w:hAnsi="Times New Roman" w:eastAsia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link w:val="a6"/>
    <w:uiPriority w:val="99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link w:val="a8"/>
    <w:uiPriority w:val="99"/>
    <w:rPr>
      <w:sz w:val="22"/>
      <w:szCs w:val="22"/>
      <w:lang w:eastAsia="en-US"/>
    </w:rPr>
  </w:style>
  <w:style w:type="character" w:styleId="FontStyle11" w:customStyle="1">
    <w:name w:val="Font Style11"/>
    <w:uiPriority w:val="99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pPr>
      <w:numPr>
        <w:numId w:val="4"/>
      </w:numPr>
      <w:contextualSpacing/>
    </w:pPr>
  </w:style>
  <w:style w:type="paragraph" w:styleId="ConsPlusNormal" w:customStyle="1">
    <w:name w:val="ConsPlusNormal"/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Pr>
      <w:sz w:val="20"/>
      <w:szCs w:val="20"/>
    </w:rPr>
  </w:style>
  <w:style w:type="character" w:styleId="ac" w:customStyle="1">
    <w:name w:val="Текст примечания Знак"/>
    <w:link w:val="ab"/>
    <w:uiPriority w:val="99"/>
    <w:semiHidden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styleId="ae" w:customStyle="1">
    <w:name w:val="Тема примечания Знак"/>
    <w:link w:val="ad"/>
    <w:uiPriority w:val="99"/>
    <w:semiHidden/>
    <w:rPr>
      <w:b/>
      <w:bCs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af0" w:customStyle="1">
    <w:name w:val="Текст выноски Знак"/>
    <w:link w:val="af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pple-converted-space" w:customStyle="1">
    <w:name w:val="apple-converted-space"/>
    <w:basedOn w:val="a1"/>
  </w:style>
  <w:style w:type="paragraph" w:styleId="af1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af2">
    <w:name w:val="Title"/>
    <w:basedOn w:val="a0"/>
    <w:link w:val="af3"/>
    <w:qFormat/>
    <w:pPr>
      <w:spacing w:after="0" w:line="240" w:lineRule="auto"/>
      <w:jc w:val="center"/>
    </w:pPr>
    <w:rPr>
      <w:rFonts w:ascii="Times New Roman" w:hAnsi="Times New Roman" w:eastAsia="Arial Unicode MS"/>
      <w:spacing w:val="-20"/>
      <w:sz w:val="36"/>
      <w:szCs w:val="20"/>
      <w:lang w:eastAsia="ru-RU"/>
    </w:rPr>
  </w:style>
  <w:style w:type="character" w:styleId="af3" w:customStyle="1">
    <w:name w:val="Название Знак"/>
    <w:basedOn w:val="a1"/>
    <w:link w:val="af2"/>
    <w:rPr>
      <w:rFonts w:ascii="Times New Roman" w:hAnsi="Times New Roman" w:eastAsia="Arial Unicode MS"/>
      <w:spacing w:val="-20"/>
      <w:sz w:val="36"/>
    </w:rPr>
  </w:style>
  <w:style w:type="paragraph" w:styleId="ConsPlusNormal1" w:customStyle="1">
    <w:name w:val="ConsPlusNormal1"/>
    <w:rPr>
      <w:rFonts w:ascii="Arial" w:hAnsi="Arial" w:cs="Arial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F5E06529D60FEBD3DE1FD48F65446402DB6D2880BB49ACBFE6CD2D1003s6cDM" TargetMode="External"/><Relationship Id="rId13" Type="http://schemas.openxmlformats.org/officeDocument/2006/relationships/hyperlink" Target="consultantplus://offline/ref=F5E06529D60FEBD3DE1FD48F65446402DB6C2186BE4BACBFE6CD2D1003s6cDM" TargetMode="External"/><Relationship Id="rId14" Type="http://schemas.openxmlformats.org/officeDocument/2006/relationships/hyperlink" Target="consultantplus://offline/ref=6B63009A4A9ED5602129F44D4513BB20A4B5B85A3154037F53D333CCB4F49D88B0455123CA755B28FD5265C791EEA745C55651C802EDD3830D568431xBbC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D8932995-8730-448E-827B-6DFFACD0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haracters>28381</Characters>
  <CharactersWithSpaces>33294</CharactersWithSpaces>
  <Company/>
  <DocSecurity>0</DocSecurity>
  <HyperlinksChanged>false</HyperlinksChanged>
  <Lines>236</Lines>
  <LinksUpToDate>false</LinksUpToDate>
  <Pages>18</Pages>
  <Paragraphs>66</Paragraphs>
  <ScaleCrop>false</ScaleCrop>
  <SharedDoc>false</SharedDoc>
  <Template>Normal</Template>
  <TotalTime>5178</TotalTime>
  <Words>4979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gv.putilova</cp:lastModifiedBy>
  <cp:revision>97</cp:revision>
  <cp:lastPrinted>2022-10-28T08:15:00Z</cp:lastPrinted>
  <dcterms:created xsi:type="dcterms:W3CDTF">2022-09-01T12:17:00Z</dcterms:created>
  <dcterms:modified xsi:type="dcterms:W3CDTF">2022-11-07T13:08:00Z</dcterms:modified>
</cp:coreProperties>
</file>