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40"/>
        <w:gridCol w:w="817"/>
        <w:gridCol w:w="4299"/>
      </w:tblGrid>
      <w:tr>
        <w:trPr/>
        <w:tc>
          <w:tcPr>
            <w:tcW w:w="4240" w:type="dxa"/>
            <w:vMerge w:val="restart"/>
            <w:textDirection w:val="lrTb"/>
            <w:noWrap w:val="false"/>
          </w:tcPr>
          <w:p>
            <w:pPr>
              <w:rPr>
                <w:sz w:val="16"/>
              </w:rPr>
            </w:pPr>
            <w:r>
              <w:rPr>
                <w:sz w:val="16"/>
              </w:rPr>
              <w:object w:dxaOrig="0" w:dyaOrig="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position:absolute;z-index:251658240;o:allowoverlap:true;o:allowincell:true;mso-position-horizontal-relative:text;margin-left:-22.4pt;mso-position-horizontal:absolute;mso-position-vertical-relative:text;margin-top:-16.9pt;mso-position-vertical:absolute;width:206.3pt;height:142.2pt;mso-wrap-distance-left:9.0pt;mso-wrap-distance-top:0.0pt;mso-wrap-distance-right:9.0pt;mso-wrap-distance-bottom:0.0pt;" filled="f" stroked="f">
                  <v:path textboxrect="0,0,0,0"/>
                  <v:imagedata r:id="rId9" o:title=""/>
                </v:shape>
                <o:OLEObject DrawAspect="Content" r:id="rId10" ObjectID="_1525040" ProgID="Word.Document.8" ShapeID="_x0000_i0" Type="Embed"/>
              </w:object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vMerge w:val="restart"/>
            <w:textDirection w:val="lrTb"/>
            <w:noWrap w:val="false"/>
          </w:tcPr>
          <w:p>
            <w:pPr>
              <w:ind w:firstLine="79"/>
              <w:spacing w:line="240" w:lineRule="exact"/>
            </w:pPr>
            <w:r>
              <w:t xml:space="preserve">Главе города Ставрополя</w:t>
            </w:r>
            <w:r/>
          </w:p>
          <w:p>
            <w:pPr>
              <w:ind w:firstLine="79"/>
              <w:spacing w:line="240" w:lineRule="exact"/>
            </w:pPr>
            <w:r/>
            <w:r/>
          </w:p>
          <w:p>
            <w:pPr>
              <w:ind w:firstLine="80"/>
            </w:pPr>
            <w:r>
              <w:t xml:space="preserve">Ульянченко</w:t>
            </w:r>
            <w:r>
              <w:t xml:space="preserve"> И.И.</w:t>
            </w:r>
            <w:r/>
          </w:p>
        </w:tc>
      </w:tr>
      <w:tr>
        <w:trPr>
          <w:trHeight w:val="1937"/>
        </w:trPr>
        <w:tc>
          <w:tcPr>
            <w:tcW w:w="424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  <w:tc>
          <w:tcPr>
            <w:tcW w:w="4299" w:type="dxa"/>
            <w:vMerge w:val="continue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6"/>
              <w:rPr>
                <w:szCs w:val="28"/>
              </w:rPr>
            </w:pPr>
            <w:r/>
            <w:bookmarkStart w:id="0" w:name="REGNUMDATESTAMP"/>
            <w:r>
              <w:rPr>
                <w:szCs w:val="28"/>
              </w:rPr>
              <w:t xml:space="preserve">Номер документа, не заполнять! </w:t>
            </w:r>
            <w:r>
              <w:rPr>
                <w:szCs w:val="28"/>
              </w:rPr>
              <w:t xml:space="preserve">!</w:t>
            </w:r>
            <w:bookmarkEnd w:id="0"/>
            <w:r/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/>
          </w:p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/>
          </w:p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 №____________ от ________</w:t>
            </w:r>
            <w:r/>
          </w:p>
          <w:p>
            <w:pPr>
              <w:ind w:hanging="76"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</w:tr>
    </w:tbl>
    <w:p>
      <w:pPr>
        <w:pStyle w:val="617"/>
        <w:spacing w:line="283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  <w:r/>
    </w:p>
    <w:p>
      <w:pPr>
        <w:pStyle w:val="617"/>
        <w:spacing w:line="283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  <w:r/>
    </w:p>
    <w:p>
      <w:pPr>
        <w:spacing w:line="283" w:lineRule="exact"/>
      </w:pPr>
      <w:r>
        <w:t xml:space="preserve">за январь</w:t>
      </w:r>
      <w:r>
        <w:t xml:space="preserve"> </w:t>
      </w:r>
      <w:r>
        <w:rPr>
          <w:szCs w:val="28"/>
        </w:rPr>
        <w:t xml:space="preserve">–</w:t>
      </w:r>
      <w:r>
        <w:rPr>
          <w:szCs w:val="28"/>
        </w:rPr>
        <w:t xml:space="preserve"> </w:t>
      </w:r>
      <w:r>
        <w:t xml:space="preserve">май 2023 года</w:t>
      </w:r>
      <w:r/>
    </w:p>
    <w:p>
      <w:pPr>
        <w:jc w:val="center"/>
        <w:rPr>
          <w:szCs w:val="28"/>
        </w:rPr>
      </w:pPr>
      <w:r>
        <w:rPr>
          <w:szCs w:val="28"/>
        </w:rPr>
      </w:r>
      <w:r/>
    </w:p>
    <w:p>
      <w:pPr>
        <w:pStyle w:val="617"/>
        <w:jc w:val="center"/>
        <w:spacing w:line="240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Уважаемый Иван Иванович!</w:t>
      </w:r>
      <w:r/>
    </w:p>
    <w:p>
      <w:pPr>
        <w:ind w:firstLine="709"/>
        <w:jc w:val="both"/>
      </w:pPr>
      <w:r/>
      <w:r/>
    </w:p>
    <w:p>
      <w:pPr>
        <w:pStyle w:val="617"/>
        <w:ind w:firstLine="709"/>
        <w:jc w:val="both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По отчетным данным бюджет города Ставрополя за январь </w:t>
      </w:r>
      <w:r>
        <w:rPr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май 2023 года исполнен по доходам в сумме 6 237 494 тыс. рублей</w:t>
      </w:r>
      <w:r>
        <w:rPr>
          <w:rFonts w:ascii="Times New Roman" w:hAnsi="Times New Roman"/>
          <w:sz w:val="28"/>
        </w:rPr>
        <w:t xml:space="preserve"> и по расходам в сумме 6 935 633 тыс. рублей с превышением расходов над доходами в сумме 698 139 тыс. рублей.</w:t>
      </w:r>
      <w:r/>
    </w:p>
    <w:p>
      <w:pPr>
        <w:ind w:firstLine="709"/>
        <w:jc w:val="both"/>
        <w:widowControl w:val="off"/>
        <w:rPr>
          <w:szCs w:val="28"/>
        </w:rPr>
      </w:pPr>
      <w:r>
        <w:rPr>
          <w:szCs w:val="28"/>
        </w:rPr>
        <w:t xml:space="preserve">По сравнению с аналогичным периодом прошлого года объем поступлений в бюджет города Ставрополя увеличился на 701 259 тыс. рублей, или на 12,7 процента. Поступления по налоговым и неналоговым доходам увеличились на 39 209 тыс. рублей, или на 2 процента.</w:t>
      </w:r>
      <w:r/>
    </w:p>
    <w:p>
      <w:pPr>
        <w:ind w:firstLine="709"/>
        <w:jc w:val="both"/>
      </w:pPr>
      <w:r>
        <w:t xml:space="preserve">Объем произведенных расходов увеличился по сравнению с аналогичным периодом 2022 года на 1 098 989 тыс. рублей, или </w:t>
      </w:r>
      <w:r>
        <w:t xml:space="preserve">на</w:t>
      </w:r>
      <w:r>
        <w:t xml:space="preserve"> </w:t>
      </w:r>
      <w:r>
        <w:br/>
        <w:t xml:space="preserve">18,8 процента.</w:t>
      </w:r>
      <w:r/>
    </w:p>
    <w:p>
      <w:pPr>
        <w:ind w:firstLine="709"/>
        <w:jc w:val="both"/>
      </w:pPr>
      <w:r/>
      <w:r/>
    </w:p>
    <w:p>
      <w:pPr>
        <w:ind w:firstLine="2694"/>
        <w:jc w:val="both"/>
        <w:widowControl w:val="off"/>
      </w:pPr>
      <w:r>
        <w:t xml:space="preserve">Доходы бюджета города Ставрополя</w:t>
      </w:r>
      <w:r/>
    </w:p>
    <w:p>
      <w:pPr>
        <w:ind w:firstLine="2694"/>
        <w:jc w:val="both"/>
        <w:widowControl w:val="off"/>
      </w:pPr>
      <w:r/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За январь – ма</w:t>
      </w:r>
      <w:r>
        <w:rPr>
          <w:szCs w:val="28"/>
        </w:rPr>
        <w:t xml:space="preserve">й 2023 года объем налоговых и неналоговых доходов в бюджет города Ставрополя составил 1 967 861 тыс. рублей. Бюджетные назначения исполнены на 100 процентов, плановый прогнозный показатель по налоговым и неналоговым доходам перевыполнен на 828 тыс. рублей.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Структура доходов:</w:t>
      </w:r>
      <w:r/>
    </w:p>
    <w:p>
      <w:pPr>
        <w:ind w:firstLine="708"/>
        <w:jc w:val="both"/>
        <w:widowControl w:val="off"/>
        <w:rPr>
          <w:szCs w:val="28"/>
        </w:rPr>
      </w:pPr>
      <w:r>
        <w:rPr>
          <w:szCs w:val="28"/>
        </w:rPr>
        <w:t xml:space="preserve">налоговые доходы – 1 668 829 тыс. рублей (84,8 процента к сумме налоговых и неналоговых доходов);</w:t>
      </w:r>
      <w:r>
        <w:rPr>
          <w:sz w:val="10"/>
        </w:rPr>
        <w:t xml:space="preserve"> </w:t>
      </w:r>
      <w:r/>
    </w:p>
    <w:p>
      <w:pPr>
        <w:ind w:firstLine="708"/>
        <w:jc w:val="both"/>
        <w:widowControl w:val="off"/>
        <w:rPr>
          <w:szCs w:val="28"/>
        </w:rPr>
      </w:pPr>
      <w:r>
        <w:rPr>
          <w:szCs w:val="28"/>
        </w:rPr>
        <w:t xml:space="preserve">неналоговые доходы – 299 032 тыс. рублей (15,2 процента к сумме налоговых и неналоговых доходов);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безвозмездные поступления – 4 269 633 тыс. рублей (из них возврат остатков прошлых лет субсидий и субвенций из бюджетов городских округов в сумме 72 990 тыс. рублей). 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План по налоговым доходам выполнен в целом на 100,3 процента, в бюджет города Ставрополя дополнительно поступило платежей в сумме 4 371 тыс. рублей. 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В доход бюджета города Ставрополя сверх установленных плановых назначений поступили платежи: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налогу, взимаемому в связи с применением упрощенной системы налогообложения, – 36 807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налогу на доходы физических лиц – 19 615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государственной пошлине – 1 493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акцизам по подакцизным товарам (продукции) – 914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земельному налогу – 167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налогу, взимаемому в связи с применением патентной системы налогообложения, – 135 тыс. рублей.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План по налоговым доходам не выполнен: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по налогу на имущество физических лиц – на 25 746 тыс. рублей; 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по единому сельскохозяйственному налогу – на 23 272 тыс. рублей (администратор – Управление Федеральной налоговой службы по Ставропольскому краю).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В связи с проведением налоговыми органами мероприятий по формированию сальдо Единого налогового счета из бюджета города Ставрополя произведен возврат платежей по единому налогу</w:t>
      </w:r>
      <w:r>
        <w:rPr>
          <w:szCs w:val="28"/>
        </w:rPr>
        <w:t xml:space="preserve"> на вмененный доход от отдельных видов деятельности (-5</w:t>
      </w:r>
      <w:r>
        <w:rPr>
          <w:szCs w:val="28"/>
          <w:lang w:val="en-US"/>
        </w:rPr>
        <w:t xml:space="preserve"> </w:t>
      </w:r>
      <w:r>
        <w:rPr>
          <w:szCs w:val="28"/>
        </w:rPr>
        <w:t xml:space="preserve">742 тыс. рублей). 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План по неналоговым доходам выполнен на 98,8 процента, в бюджет города Ставрополя не поступило платежей в сумме 3 543 тыс. рублей. </w:t>
      </w:r>
      <w:r/>
    </w:p>
    <w:p>
      <w:pPr>
        <w:ind w:firstLine="709"/>
        <w:jc w:val="both"/>
        <w:widowControl w:val="off"/>
        <w:tabs>
          <w:tab w:val="left" w:pos="0" w:leader="none"/>
          <w:tab w:val="left" w:pos="709" w:leader="none"/>
        </w:tabs>
        <w:rPr>
          <w:szCs w:val="28"/>
        </w:rPr>
      </w:pPr>
      <w:r>
        <w:rPr>
          <w:szCs w:val="28"/>
        </w:rPr>
        <w:t xml:space="preserve">План по неналоговым доходам перевыполнен: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доходам от сдачи в аренду имущества, находящегося в оперативном управлении, – на 3 993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доходам от реализации имущества, находящегося в собственности городских округов, – на 3 973 тыс. рублей;</w:t>
      </w:r>
      <w:r/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по доходам от продажи земельных участков, находящихся в государственной и муниципальной собственности, – на 3 233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2 247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штрафным санкциям – на 2 058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административным платежам – на 1 920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прочим неналоговым доходам – на 1 388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t xml:space="preserve">по плате за негативное воздействие на окружающую среду </w:t>
      </w:r>
      <w:r>
        <w:rPr>
          <w:szCs w:val="28"/>
        </w:rPr>
        <w:t xml:space="preserve">–</w:t>
      </w:r>
      <w:r>
        <w:t xml:space="preserve"> </w:t>
      </w:r>
      <w:r>
        <w:br/>
        <w:t xml:space="preserve">на 696 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прочим доходам от оказания платных услуг (работ) получателями средств бюджетов городских округов – на 679 тыс. рублей;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по прочим поступлениям от использования имущества, находящегося в собственности городских округов, – на 336 тыс. рублей.</w:t>
      </w:r>
      <w:r/>
    </w:p>
    <w:p>
      <w:pPr>
        <w:ind w:firstLine="709"/>
        <w:jc w:val="both"/>
        <w:widowControl w:val="off"/>
        <w:tabs>
          <w:tab w:val="left" w:pos="709" w:leader="none"/>
        </w:tabs>
        <w:rPr>
          <w:szCs w:val="28"/>
        </w:rPr>
      </w:pPr>
      <w:r>
        <w:rPr>
          <w:szCs w:val="28"/>
        </w:rPr>
        <w:t xml:space="preserve">План не выполнен:</w:t>
      </w:r>
      <w:r/>
    </w:p>
    <w:p>
      <w:pPr>
        <w:ind w:firstLine="709"/>
        <w:jc w:val="both"/>
        <w:rPr>
          <w:szCs w:val="28"/>
        </w:rPr>
      </w:pPr>
      <w:r>
        <w:t xml:space="preserve">по доходам, по</w:t>
      </w:r>
      <w:r>
        <w:t xml:space="preserve">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szCs w:val="28"/>
        </w:rPr>
        <w:t xml:space="preserve"> – на 22 333 тыс. рублей (администратор – комитет по управлению муниципальным имуществом города Ставрополя);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по доходам, получае</w:t>
      </w:r>
      <w:r>
        <w:rPr>
          <w:szCs w:val="28"/>
        </w:rPr>
        <w:t xml:space="preserve">мым в виде арендной платы, а также средствам от продажи права на заключение договоров аренды за земли, находящиеся в собственности городских округов, – на 1 733 тыс. рублей (администратор – комитет по управлению муниципальным имуществом города Ставрополя).</w:t>
      </w:r>
      <w:r/>
    </w:p>
    <w:p>
      <w:pPr>
        <w:ind w:firstLine="709"/>
        <w:jc w:val="right"/>
        <w:widowControl w:val="off"/>
      </w:pPr>
      <w:r/>
      <w:r/>
    </w:p>
    <w:p>
      <w:pPr>
        <w:ind w:firstLine="709"/>
        <w:jc w:val="center"/>
        <w:widowControl w:val="off"/>
      </w:pPr>
      <w:r>
        <w:t xml:space="preserve">Расходы бюджета города Ставрополя</w:t>
      </w:r>
      <w:r/>
    </w:p>
    <w:p>
      <w:pPr>
        <w:ind w:firstLine="709"/>
        <w:jc w:val="center"/>
        <w:widowControl w:val="off"/>
      </w:pPr>
      <w:r/>
      <w:r/>
    </w:p>
    <w:p>
      <w:pPr>
        <w:ind w:firstLine="709"/>
        <w:jc w:val="both"/>
        <w:widowControl w:val="off"/>
      </w:pPr>
      <w:r>
        <w:t xml:space="preserve">Фактические кассовые расходы бюджета города Ставрополя </w:t>
      </w:r>
      <w:r>
        <w:br/>
        <w:t xml:space="preserve">за январь – май 2023 года составили 6 935 633 тыс. рублей, или                             99,0 процента к кассовому плану на январь – май 2023 года. </w:t>
      </w:r>
      <w:r/>
    </w:p>
    <w:p>
      <w:pPr>
        <w:ind w:firstLine="709"/>
        <w:jc w:val="both"/>
      </w:pPr>
      <w:r>
        <w:t xml:space="preserve">В разрезе главных распорядителей исполнение плановых назначений сложилось следующим образом.</w:t>
      </w:r>
      <w:r/>
    </w:p>
    <w:p>
      <w:pPr>
        <w:rPr>
          <w:sz w:val="18"/>
        </w:rPr>
      </w:pPr>
      <w:r>
        <w:rPr>
          <w:sz w:val="18"/>
        </w:rPr>
      </w:r>
      <w:r/>
    </w:p>
    <w:p>
      <w:pPr>
        <w:rPr>
          <w:sz w:val="18"/>
        </w:rPr>
      </w:pPr>
      <w:r>
        <w:rPr>
          <w:sz w:val="18"/>
        </w:rPr>
      </w:r>
      <w:r/>
    </w:p>
    <w:p>
      <w:pPr>
        <w:jc w:val="center"/>
        <w:spacing w:line="216" w:lineRule="auto"/>
        <w:widowControl w:val="off"/>
        <w:tabs>
          <w:tab w:val="left" w:pos="993" w:leader="none"/>
        </w:tabs>
      </w:pPr>
      <w:r>
        <w:t xml:space="preserve">Исполнение</w:t>
      </w:r>
      <w:r/>
    </w:p>
    <w:p>
      <w:pPr>
        <w:jc w:val="center"/>
        <w:spacing w:line="216" w:lineRule="auto"/>
        <w:widowControl w:val="off"/>
      </w:pPr>
      <w:r>
        <w:t xml:space="preserve">расходной части бюджета города Ставрополя в разрезе главных распорядителей бюджетных средств за январь – май 2023 года</w:t>
      </w:r>
      <w:r/>
    </w:p>
    <w:p>
      <w:pPr>
        <w:ind w:firstLine="539"/>
        <w:jc w:val="center"/>
        <w:widowControl w:val="off"/>
        <w:rPr>
          <w:sz w:val="18"/>
        </w:rPr>
      </w:pPr>
      <w:r>
        <w:rPr>
          <w:sz w:val="18"/>
        </w:rPr>
      </w:r>
      <w:r/>
    </w:p>
    <w:p>
      <w:pPr>
        <w:ind w:firstLine="539"/>
        <w:jc w:val="right"/>
        <w:widowControl w:val="off"/>
        <w:rPr>
          <w:sz w:val="18"/>
        </w:rPr>
      </w:pPr>
      <w:r>
        <w:rPr>
          <w:sz w:val="18"/>
        </w:rPr>
        <w:t xml:space="preserve">(тыс. рублей)</w:t>
      </w:r>
      <w:r/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1417"/>
        <w:gridCol w:w="1134"/>
        <w:gridCol w:w="1418"/>
      </w:tblGrid>
      <w:tr>
        <w:trPr>
          <w:trHeight w:val="86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Код ГРБС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Наименование ГРБС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Кассовый план на январь - май</w:t>
            </w:r>
            <w:r/>
          </w:p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2023 года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417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Кассовое исполнение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Остаток кассового плана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Процент исполнения к кассовому плану</w:t>
            </w:r>
            <w:r/>
          </w:p>
        </w:tc>
      </w:tr>
      <w:tr>
        <w:trPr>
          <w:trHeight w:val="409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835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</w:t>
            </w:r>
            <w:r/>
          </w:p>
        </w:tc>
      </w:tr>
      <w:tr>
        <w:trPr>
          <w:trHeight w:val="56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Ставропольская городская Дума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22 480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22 480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Администрация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104 324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104 324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1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по управлению муниципальным имуществом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202 286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202 286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финансов и бюджета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55 625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55 625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103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экономического развития и торговли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57 185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57 185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1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образования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3 505 862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3 504 364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1 498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75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</w:t>
            </w:r>
            <w:r/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культуры и молодежной политики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253 485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253 485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107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609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труда и социальной защиты населения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1 482 705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1 481 133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1 572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99,9</w:t>
            </w:r>
            <w:r/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611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физической культуры и спорта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96 849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96 849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617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Администрация Ленинского района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83 062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83 048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618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Администрация Октябрьского района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81 942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81 942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619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Администрация Промышленного района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141 466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141 458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47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620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городского хозяйства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407 468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407 468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554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621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градостроительства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456 362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389 296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67 066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85,3</w:t>
            </w:r>
            <w:r/>
          </w:p>
        </w:tc>
      </w:tr>
      <w:tr>
        <w:trPr>
          <w:trHeight w:val="11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624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Комитет по делам гражданской обороны и чрезвычайным ситуациям администрации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47 474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47 474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643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Контрольно-счетная палата города Ставрополя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7 216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7 216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100,0</w:t>
            </w:r>
            <w:r/>
          </w:p>
        </w:tc>
      </w:tr>
      <w:tr>
        <w:trPr>
          <w:trHeight w:val="261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Всего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7 005 791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6 935 633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70 158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99,0</w:t>
            </w:r>
            <w:r/>
          </w:p>
        </w:tc>
      </w:tr>
    </w:tbl>
    <w:p>
      <w:pPr>
        <w:ind w:firstLine="539"/>
        <w:jc w:val="right"/>
        <w:widowControl w:val="off"/>
        <w:rPr>
          <w:sz w:val="18"/>
        </w:rPr>
      </w:pPr>
      <w:r>
        <w:rPr>
          <w:sz w:val="18"/>
        </w:rPr>
      </w:r>
      <w:r/>
    </w:p>
    <w:p>
      <w:pPr>
        <w:ind w:firstLine="709"/>
        <w:jc w:val="both"/>
      </w:pPr>
      <w:r>
        <w:t xml:space="preserve">В части местных полномочий исполнение плановых назначений за январь – май 2023 года составило 99,9 процента (при уточненном кассовом плане 2 586 465 тыс. рублей кассовые расходы составили 2 582 702 тыс. рублей, остаток составил 3 763 тыс. рублей).</w:t>
      </w:r>
      <w:r/>
    </w:p>
    <w:p>
      <w:pPr>
        <w:ind w:firstLine="709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  <w:t xml:space="preserve">за анализируемый период составило 98,5 процента (при уточненном кассовом плане 4 419 326 тыс. рублей кассовые расходы составили </w:t>
      </w:r>
      <w:r>
        <w:br/>
        <w:t xml:space="preserve">4 352 931 тыс. рублей, остаток составил 66 395 тыс. рублей).</w:t>
      </w:r>
      <w:r/>
    </w:p>
    <w:p>
      <w:pPr>
        <w:ind w:firstLine="709"/>
        <w:jc w:val="both"/>
        <w:widowControl w:val="off"/>
      </w:pPr>
      <w:r>
        <w:t xml:space="preserve">Исполнение бюджета города Ставрополя за январь – май 2023 года к </w:t>
      </w:r>
      <w:r>
        <w:t xml:space="preserve">годовым плановым назначениям по расходам составило в целом 37,5 процента (за аналогичный период 2022 года – 33,6 процента).</w:t>
      </w:r>
      <w:r/>
    </w:p>
    <w:p>
      <w:pPr>
        <w:ind w:firstLine="709"/>
        <w:jc w:val="both"/>
      </w:pPr>
      <w:r>
        <w:t xml:space="preserve">Сумма остатков средств на 31.05.2023 на счетах бюджета города</w:t>
      </w:r>
      <w:r>
        <w:br/>
        <w:t xml:space="preserve">Ставрополя уменьшилась по сравнению с началом года на 181 155 тыс.</w:t>
      </w:r>
      <w:r>
        <w:br/>
        <w:t xml:space="preserve">рублей и составила 597 486 тыс. рублей. </w:t>
      </w:r>
      <w:r/>
    </w:p>
    <w:p>
      <w:pPr>
        <w:ind w:firstLine="709"/>
        <w:jc w:val="both"/>
      </w:pPr>
      <w:r>
        <w:t xml:space="preserve">Муниципальный долг по состоянию на 01.06.2023 составил </w:t>
      </w:r>
      <w:r>
        <w:br/>
        <w:t xml:space="preserve">1 989 946,00 тыс. рубл</w:t>
      </w:r>
      <w:r>
        <w:t xml:space="preserve">ей, в том числе: задолженность по бюджетным кредитам, полученным из бюджета Ставропольского края – 1 989 000,00 тыс. рублей; муниципальные гарантии, предоставленные по централизованным кредитам, выданным предприятиям АПК в 1992-1994 гг., – 946 тыс. рублей.</w:t>
      </w:r>
      <w:r/>
    </w:p>
    <w:p>
      <w:pPr>
        <w:ind w:firstLine="709"/>
        <w:jc w:val="both"/>
      </w:pPr>
      <w:r>
        <w:t xml:space="preserve">Задолженность по банковским кредитам отсутствует.</w:t>
      </w:r>
      <w:r/>
    </w:p>
    <w:p>
      <w:pPr>
        <w:ind w:firstLine="709"/>
        <w:jc w:val="both"/>
      </w:pPr>
      <w:r>
        <w:t xml:space="preserve">Расходы на обслуживание муниципального долга за январь – май 2023 года составили 33 835,92 тыс. рублей. </w:t>
      </w:r>
      <w:r/>
    </w:p>
    <w:p>
      <w:pPr>
        <w:ind w:firstLine="709"/>
        <w:jc w:val="both"/>
      </w:pPr>
      <w:r>
        <w:t xml:space="preserve">Кассовый остаток в части собственных средств на отчетную дату составил 63 826 тыс. рублей.</w:t>
      </w:r>
      <w:r/>
    </w:p>
    <w:p>
      <w:pPr>
        <w:ind w:firstLine="709"/>
        <w:jc w:val="both"/>
      </w:pPr>
      <w:r/>
      <w:r/>
    </w:p>
    <w:p>
      <w:pPr>
        <w:ind w:firstLine="567"/>
        <w:jc w:val="both"/>
        <w:widowControl w:val="off"/>
        <w:rPr>
          <w:sz w:val="24"/>
        </w:rPr>
      </w:pPr>
      <w:r>
        <w:rPr>
          <w:sz w:val="24"/>
        </w:rPr>
      </w:r>
      <w:r/>
    </w:p>
    <w:p>
      <w:pPr>
        <w:ind w:firstLine="709"/>
      </w:pPr>
      <w:r>
        <w:t xml:space="preserve">Приложение: на 8 л. в 1 экз.</w:t>
      </w:r>
      <w:r/>
    </w:p>
    <w:p>
      <w:r/>
      <w:r/>
    </w:p>
    <w:p>
      <w:r/>
      <w:r/>
    </w:p>
    <w:p>
      <w:r/>
      <w:r/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4"/>
        <w:gridCol w:w="5386"/>
        <w:gridCol w:w="1134"/>
        <w:gridCol w:w="2552"/>
      </w:tblGrid>
      <w:tr>
        <w:trPr>
          <w:trHeight w:val="656"/>
        </w:trPr>
        <w:tc>
          <w:tcPr>
            <w:gridSpan w:val="2"/>
            <w:shd w:val="clear" w:color="auto" w:fill="auto"/>
            <w:tcW w:w="5670" w:type="dxa"/>
            <w:vAlign w:val="bottom"/>
            <w:textDirection w:val="lrTb"/>
            <w:noWrap w:val="false"/>
          </w:tcPr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Ставрополя,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</w:t>
            </w:r>
            <w:r>
              <w:rPr>
                <w:szCs w:val="28"/>
              </w:rPr>
              <w:t xml:space="preserve">ь</w:t>
            </w:r>
            <w:r>
              <w:rPr>
                <w:szCs w:val="28"/>
              </w:rPr>
              <w:t xml:space="preserve"> комитета финансов и бюджета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2552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szCs w:val="28"/>
              </w:rPr>
            </w:pPr>
            <w:r>
              <w:rPr>
                <w:szCs w:val="28"/>
              </w:rPr>
              <w:t xml:space="preserve">Н.А. Бондаренко</w:t>
            </w:r>
            <w:r/>
          </w:p>
        </w:tc>
      </w:tr>
      <w:tr>
        <w:trPr>
          <w:trHeight w:val="1916"/>
        </w:trPr>
        <w:tc>
          <w:tcPr>
            <w:shd w:val="clear" w:color="auto" w:fill="auto"/>
            <w:tcW w:w="284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szCs w:val="28"/>
                <w:lang w:val="en-US"/>
              </w:rPr>
            </w:pPr>
            <w:r/>
            <w:bookmarkStart w:id="1" w:name="SIGNERSTAMP1"/>
            <w:r>
              <w:rPr>
                <w:i/>
              </w:rPr>
              <w:t xml:space="preserve">Штамп ЭП</w:t>
            </w:r>
            <w:r>
              <w:t xml:space="preserve">!</w:t>
            </w:r>
            <w:bookmarkEnd w:id="1"/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right="-108"/>
              <w:jc w:val="both"/>
              <w:keepLines/>
              <w:keepNext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</w:tr>
    </w:tbl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К.В. Серикова, 74-93-53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Н.Н. Кирюшкина, 74-94-91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А.А. Соколова, 74-94-92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З.А. </w:t>
      </w:r>
      <w:r>
        <w:rPr>
          <w:sz w:val="18"/>
        </w:rPr>
        <w:t xml:space="preserve">Андрейченко</w:t>
      </w:r>
      <w:r>
        <w:rPr>
          <w:sz w:val="18"/>
        </w:rPr>
        <w:t xml:space="preserve">, 74-93-57</w:t>
      </w:r>
      <w:r/>
    </w:p>
    <w:p>
      <w:pPr>
        <w:jc w:val="both"/>
        <w:spacing w:line="240" w:lineRule="exact"/>
        <w:rPr>
          <w:sz w:val="20"/>
          <w:szCs w:val="20"/>
        </w:rPr>
      </w:pPr>
      <w:r>
        <w:rPr>
          <w:sz w:val="20"/>
          <w:szCs w:val="20"/>
        </w:rPr>
      </w:r>
      <w:r/>
    </w:p>
    <w:sectPr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1"/>
    <w:link w:val="60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600">
    <w:name w:val="Heading 1"/>
    <w:basedOn w:val="599"/>
    <w:next w:val="599"/>
    <w:link w:val="615"/>
    <w:qFormat/>
    <w:pPr>
      <w:keepNext/>
      <w:outlineLvl w:val="0"/>
    </w:pPr>
    <w:rPr>
      <w:b/>
      <w:bCs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character" w:styleId="604">
    <w:name w:val="Hyperlink"/>
    <w:uiPriority w:val="99"/>
    <w:unhideWhenUsed/>
    <w:rPr>
      <w:color w:val="0000ff"/>
      <w:u w:val="single"/>
    </w:rPr>
  </w:style>
  <w:style w:type="paragraph" w:styleId="605">
    <w:name w:val="Balloon Text"/>
    <w:basedOn w:val="599"/>
    <w:link w:val="60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6" w:customStyle="1">
    <w:name w:val="Текст выноски Знак"/>
    <w:basedOn w:val="601"/>
    <w:link w:val="605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607">
    <w:name w:val="Body Text"/>
    <w:basedOn w:val="599"/>
    <w:link w:val="608"/>
    <w:pPr>
      <w:jc w:val="center"/>
    </w:pPr>
    <w:rPr>
      <w:b/>
      <w:bCs/>
      <w:caps/>
    </w:rPr>
  </w:style>
  <w:style w:type="character" w:styleId="608" w:customStyle="1">
    <w:name w:val="Основной текст Знак"/>
    <w:basedOn w:val="601"/>
    <w:link w:val="607"/>
    <w:rPr>
      <w:rFonts w:ascii="Times New Roman" w:hAnsi="Times New Roman" w:eastAsia="Times New Roman" w:cs="Times New Roman"/>
      <w:b/>
      <w:bCs/>
      <w:caps/>
      <w:sz w:val="28"/>
      <w:szCs w:val="24"/>
      <w:lang w:eastAsia="ru-RU"/>
    </w:rPr>
  </w:style>
  <w:style w:type="character" w:styleId="609">
    <w:name w:val="annotation reference"/>
    <w:basedOn w:val="601"/>
    <w:uiPriority w:val="99"/>
    <w:semiHidden/>
    <w:unhideWhenUsed/>
    <w:rPr>
      <w:sz w:val="16"/>
      <w:szCs w:val="16"/>
    </w:rPr>
  </w:style>
  <w:style w:type="paragraph" w:styleId="610">
    <w:name w:val="annotation text"/>
    <w:basedOn w:val="599"/>
    <w:link w:val="611"/>
    <w:uiPriority w:val="99"/>
    <w:semiHidden/>
    <w:unhideWhenUsed/>
    <w:rPr>
      <w:sz w:val="20"/>
      <w:szCs w:val="20"/>
    </w:rPr>
  </w:style>
  <w:style w:type="character" w:styleId="611" w:customStyle="1">
    <w:name w:val="Текст примечания Знак"/>
    <w:basedOn w:val="601"/>
    <w:link w:val="61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12">
    <w:name w:val="annotation subject"/>
    <w:basedOn w:val="610"/>
    <w:next w:val="610"/>
    <w:link w:val="613"/>
    <w:uiPriority w:val="99"/>
    <w:semiHidden/>
    <w:unhideWhenUsed/>
    <w:rPr>
      <w:b/>
      <w:bCs/>
    </w:rPr>
  </w:style>
  <w:style w:type="character" w:styleId="613" w:customStyle="1">
    <w:name w:val="Тема примечания Знак"/>
    <w:basedOn w:val="611"/>
    <w:link w:val="612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614">
    <w:name w:val="Table Grid"/>
    <w:basedOn w:val="602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15" w:customStyle="1">
    <w:name w:val="Заголовок 1 Знак"/>
    <w:basedOn w:val="601"/>
    <w:link w:val="60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616">
    <w:name w:val="Normal (Web)"/>
    <w:basedOn w:val="599"/>
    <w:uiPriority w:val="99"/>
    <w:unhideWhenUsed/>
    <w:pPr>
      <w:spacing w:before="100" w:beforeAutospacing="1" w:after="100" w:afterAutospacing="1"/>
    </w:pPr>
    <w:rPr>
      <w:sz w:val="24"/>
    </w:rPr>
  </w:style>
  <w:style w:type="paragraph" w:styleId="617">
    <w:name w:val="No Spacing"/>
    <w:link w:val="618"/>
    <w:pPr>
      <w:spacing w:after="0" w:line="240" w:lineRule="auto"/>
    </w:pPr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618" w:customStyle="1">
    <w:name w:val="Без интервала Знак"/>
    <w:link w:val="617"/>
    <w:rPr>
      <w:rFonts w:ascii="Calibri" w:hAnsi="Calibri"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emf"/><Relationship Id="rId10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16A7-200D-41D0-A449-F4B25940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revision>3</cp:revision>
  <dcterms:created xsi:type="dcterms:W3CDTF">2023-06-16T11:32:00Z</dcterms:created>
  <dcterms:modified xsi:type="dcterms:W3CDTF">2023-06-19T09:31:13Z</dcterms:modified>
</cp:coreProperties>
</file>