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lang w:eastAsia="ar-SA"/>
        </w:rPr>
      </w:r>
      <w:r>
        <w:rPr>
          <w:sz w:val="26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highlight w:val="none"/>
        </w:rPr>
      </w:r>
      <w:r>
        <w:rPr>
          <w:rFonts w:ascii="Times New Roman" w:hAnsi="Times New Roman" w:eastAsia="Times New Roman"/>
          <w:sz w:val="26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  <w:highlight w:val="none"/>
        </w:rPr>
        <w:outlineLvl w:val="0"/>
      </w:pPr>
      <w:r>
        <w:rPr>
          <w:rFonts w:ascii="Times New Roman" w:hAnsi="Times New Roman" w:eastAsia="Times New Roman"/>
          <w:sz w:val="26"/>
          <w:szCs w:val="28"/>
        </w:rPr>
      </w:r>
      <w:r>
        <w:rPr>
          <w:rFonts w:ascii="Times New Roman" w:hAnsi="Times New Roman" w:eastAsia="Times New Roman"/>
          <w:sz w:val="26"/>
          <w:szCs w:val="28"/>
        </w:rPr>
        <w:t xml:space="preserve">ПОЯСНИТЕЛЬНАЯ ЗАПИСКА</w:t>
      </w:r>
      <w:r>
        <w:rPr>
          <w:sz w:val="26"/>
        </w:rPr>
      </w:r>
      <w:r/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6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6"/>
        </w:rPr>
      </w:r>
      <w:r/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sz w:val="26"/>
        </w:rPr>
      </w:r>
      <w:r/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</w:rPr>
        <w:t xml:space="preserve">(да</w:t>
      </w:r>
      <w:r>
        <w:rPr>
          <w:rFonts w:ascii="Times New Roman" w:hAnsi="Times New Roman" w:eastAsia="Times New Roman"/>
          <w:sz w:val="26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6"/>
        </w:rPr>
        <w:t xml:space="preserve">подготовлен</w:t>
      </w:r>
      <w:r>
        <w:rPr>
          <w:rFonts w:ascii="Times New Roman" w:hAnsi="Times New Roman" w:eastAsia="Times New Roman"/>
          <w:sz w:val="26"/>
        </w:rPr>
        <w:t xml:space="preserve"> </w:t>
      </w:r>
      <w:r>
        <w:rPr>
          <w:rFonts w:ascii="Times New Roman" w:hAnsi="Times New Roman" w:eastAsia="Times New Roman"/>
          <w:sz w:val="26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годов»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(с учётом изменений, внесенных решением Ставропольской городской Думы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от 25.01.2023 №155,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 от 15.02.2023 г. № 15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9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, от 29.03.2023 №165, 28.06.2023 №189, </w:t>
        <w:br/>
        <w:t xml:space="preserve">№ 213 от 27.09.2023, № 216 от 18.10.2023, № 228 от 08.11.2023 )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,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6"/>
          <w:szCs w:val="28"/>
        </w:rPr>
        <w:t xml:space="preserve">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6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Программы вносятся изменения в приложение 1 к П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предельным объёмам финансирования на 2023 год и плановый период 2024-2025 годов и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составляет 120127,75 тыс. рублей, в том числе: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2023 год – 29484,39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2024 год – 18007,28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2025 год – 18009,02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2026 год – 18209,02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2027 год – 18209,02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2028 год – 18209,02 тыс. рублей,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из них: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за счет средств бюджета города Ставрополя - 120079,96 тыс. рублей, в том числе: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2023 год – 29436,60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2024 год – 18007,28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2025 год – 18009,02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2026 год – 18209,02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2027 год – 18209,02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2028 год – 18209,02 тыс. рублей,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за счет средств бюджета Ставропольского края - 47,79 тыс. рублей, в том числе: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2023 год – 47,79 тыс. рублей»;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</w:p>
    <w:p>
      <w:pPr>
        <w:contextualSpacing/>
        <w:ind w:left="0" w:right="-2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В связи с получением МБУ города «Центр молодежных инициатив «Трамплин» в оперативное управление недвижимого имущества, по адресу город Ставрополь, проспект Карла Маркса, 84 вносятся изменения в основное мероприятие 5, Прил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ожения 1, средства в размере 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4103,73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 тыс. руб. будут направлены на ремонт недвижимого имущества, в рамках данного основного мероприятия также выделяются денежные средства на  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укрепление материально-технической базы муниципальных учреждений города Ставрополя в сфере молодежной политики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 в размере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4268,69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sz w:val="26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  <w:lang w:eastAsia="ru-RU"/>
        </w:rPr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Руководитель комитета </w:t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  </w:t>
      </w:r>
      <w:r>
        <w:rPr>
          <w:sz w:val="26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sz w:val="26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851" w:right="566" w:bottom="110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30</cp:revision>
  <dcterms:created xsi:type="dcterms:W3CDTF">2020-11-05T06:49:00Z</dcterms:created>
  <dcterms:modified xsi:type="dcterms:W3CDTF">2023-12-11T07:30:27Z</dcterms:modified>
</cp:coreProperties>
</file>