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39" w:rsidRDefault="003915EA">
      <w:pPr>
        <w:pStyle w:val="af2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Сводный отчет </w:t>
      </w:r>
    </w:p>
    <w:p w:rsidR="00AE7639" w:rsidRDefault="003915EA">
      <w:pPr>
        <w:pStyle w:val="af2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проведения оценки регулирующего воздействия </w:t>
      </w:r>
    </w:p>
    <w:p w:rsidR="00AE7639" w:rsidRDefault="003915EA">
      <w:pPr>
        <w:pStyle w:val="af2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проектов нормативных правовых актов главы города Ставрополя, </w:t>
      </w:r>
      <w:r>
        <w:rPr>
          <w:spacing w:val="-1"/>
          <w:sz w:val="28"/>
          <w:szCs w:val="28"/>
        </w:rPr>
        <w:t>администрации города Ставрополя</w:t>
      </w:r>
    </w:p>
    <w:p w:rsidR="00AE7639" w:rsidRDefault="00AE7639">
      <w:pPr>
        <w:widowControl w:val="0"/>
        <w:jc w:val="both"/>
        <w:rPr>
          <w:sz w:val="16"/>
          <w:szCs w:val="16"/>
        </w:rPr>
      </w:pPr>
    </w:p>
    <w:p w:rsidR="00AE7639" w:rsidRDefault="003915EA">
      <w:pPr>
        <w:pStyle w:val="af1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информация.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отраслевой (функциональный) </w:t>
      </w:r>
      <w:r>
        <w:rPr>
          <w:bCs/>
          <w:spacing w:val="-1"/>
          <w:sz w:val="28"/>
          <w:szCs w:val="28"/>
        </w:rPr>
        <w:t>орган администрации города Ставрополя </w:t>
      </w:r>
      <w:r>
        <w:rPr>
          <w:sz w:val="28"/>
          <w:szCs w:val="28"/>
        </w:rPr>
        <w:t xml:space="preserve">– разработчик проекта нормативного правового акта главы города Ставрополя, </w:t>
      </w:r>
      <w:r>
        <w:rPr>
          <w:bCs/>
          <w:spacing w:val="-1"/>
          <w:sz w:val="28"/>
          <w:szCs w:val="28"/>
        </w:rPr>
        <w:t xml:space="preserve">администрации города Ставрополя (далее    соответственно – </w:t>
      </w:r>
      <w:r>
        <w:rPr>
          <w:sz w:val="28"/>
          <w:szCs w:val="28"/>
        </w:rPr>
        <w:t>разработчик проекта правового акта, проект правового акта):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городского хозяйства администрации города Ставрополя;</w:t>
      </w:r>
    </w:p>
    <w:p w:rsidR="00AE7639" w:rsidRDefault="00391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 и наименование проекта правового акта:</w:t>
      </w:r>
    </w:p>
    <w:p w:rsidR="00AE7639" w:rsidRDefault="003915E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Ставропольской городской Думы «</w:t>
      </w:r>
      <w:r>
        <w:rPr>
          <w:color w:val="000000" w:themeColor="text1"/>
          <w:sz w:val="28"/>
          <w:szCs w:val="28"/>
        </w:rPr>
        <w:t>О внесении изменений в решение Ставропольской городской Думы «Об утверждении Положения о муниципальном контроле в сфере благоустройства на территории муниципального</w:t>
      </w:r>
      <w:r>
        <w:rPr>
          <w:color w:val="000000" w:themeColor="text1"/>
          <w:sz w:val="28"/>
          <w:szCs w:val="28"/>
        </w:rPr>
        <w:t xml:space="preserve"> образования города Ставрополя Ставропольского края</w:t>
      </w:r>
      <w:r>
        <w:rPr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предполагаемая дата вступления в силу проекта решения Ставропольской городской Думы</w:t>
      </w:r>
      <w:r>
        <w:rPr>
          <w:bCs/>
          <w:spacing w:val="-1"/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правовой акт):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правовой акт вступает в силу на следующий день после дня его официал</w:t>
      </w:r>
      <w:r>
        <w:rPr>
          <w:sz w:val="28"/>
          <w:szCs w:val="28"/>
        </w:rPr>
        <w:t>ьного опубликования в газете «Вечерний Ставрополь»;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AE7639" w:rsidRDefault="00391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 закона от 31 июля 2020 года № 248-ФЗ «О государственном контроле (надзоре) и муници</w:t>
      </w:r>
      <w:r>
        <w:rPr>
          <w:sz w:val="28"/>
          <w:szCs w:val="28"/>
        </w:rPr>
        <w:t>пальном контроле в Российской Федерации» и необходимость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</w:t>
      </w:r>
      <w:r>
        <w:rPr>
          <w:sz w:val="28"/>
          <w:szCs w:val="28"/>
        </w:rPr>
        <w:t xml:space="preserve"> полномочий органов местного самоуправления по решению вопросов местного значения; 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целей предлагаемого правового регулирования:</w:t>
      </w:r>
    </w:p>
    <w:p w:rsidR="00AE7639" w:rsidRDefault="003915E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целью принятия проекта правового акта является приведение в соответствие с действующим законодательством;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содержания предлагаемого правового регулирования: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правового акта определяет правила организации и осуществления деятельности администрации города Ставрополя по контролю за соблюдением юридическими лицами, индивидуальными предприни</w:t>
      </w:r>
      <w:r>
        <w:rPr>
          <w:sz w:val="28"/>
          <w:szCs w:val="28"/>
        </w:rPr>
        <w:t xml:space="preserve">мателями, гражданами обязательных требований, установленных Правилами благоустройства территории муниципального образования города Ставрополя Ставропольского края, утвержденными решением Ставропольской городской Думы от </w:t>
      </w:r>
      <w:r w:rsidR="00E32F4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E32F4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E32F42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E32F42">
        <w:rPr>
          <w:sz w:val="28"/>
          <w:szCs w:val="28"/>
        </w:rPr>
        <w:t>200</w:t>
      </w:r>
      <w:r>
        <w:rPr>
          <w:sz w:val="28"/>
          <w:szCs w:val="28"/>
        </w:rPr>
        <w:t xml:space="preserve">; 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срок, </w:t>
      </w:r>
      <w:r>
        <w:rPr>
          <w:sz w:val="28"/>
          <w:szCs w:val="28"/>
        </w:rPr>
        <w:t>в течение которого принимались предложения в связи с размещением уведомления о подготовке проекта правового акта: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начало: «</w:t>
      </w:r>
      <w:r w:rsidR="00E32F42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E32F4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32F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года; окончание: «</w:t>
      </w:r>
      <w:r w:rsidR="00E32F42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E32F4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E32F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количество замечаний и предложений, полученных в связи </w:t>
      </w:r>
      <w:r>
        <w:rPr>
          <w:sz w:val="28"/>
          <w:szCs w:val="28"/>
        </w:rPr>
        <w:t>с размещением уведомления о подготовке проекта правового акта: 0, из них учтено: полностью: 0, учтено частично: 0;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полный электронный адрес размещения сводки поступивших предложений в связи с размещением уведомления о подготовке проекта правового акта: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«Функции»/ «Нормотворческая деятельность»/ «Оценка регулирующего воздействия»/ «Уведомления о подготовке проекта» (http://ставрополь.рф/regulatory/otsenka-reguliruyushchego-vozdeystviya/</w:t>
      </w:r>
    </w:p>
    <w:p w:rsidR="00AE7639" w:rsidRDefault="003915E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uvedpk.php);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контактная информация исполнителя разработчика проек</w:t>
      </w:r>
      <w:r>
        <w:rPr>
          <w:sz w:val="28"/>
          <w:szCs w:val="28"/>
        </w:rPr>
        <w:t>та правового акта: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Ф.И.О.: Попова Александра Владимировна;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должность: руководитель отдела муниципального жилищного контроля комитета городского хозяйства администрации города Ставрополя;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(865-2) 35-58-95; адрес электронной почты: </w:t>
      </w:r>
      <w:hyperlink r:id="rId8" w:tooltip="mailto:kgh@stavadm.ru" w:history="1">
        <w:r>
          <w:rPr>
            <w:rStyle w:val="afb"/>
            <w:color w:val="000000"/>
            <w:sz w:val="28"/>
            <w:szCs w:val="28"/>
          </w:rPr>
          <w:t>av/popova@stavadm.ru</w:t>
        </w:r>
      </w:hyperlink>
      <w:r>
        <w:rPr>
          <w:sz w:val="28"/>
          <w:szCs w:val="28"/>
        </w:rPr>
        <w:t>.</w:t>
      </w:r>
    </w:p>
    <w:p w:rsidR="00AE7639" w:rsidRDefault="003915EA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формулировка проблемы:</w:t>
      </w:r>
    </w:p>
    <w:p w:rsidR="00AE7639" w:rsidRDefault="00391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правового акта в соответствии с требованиями Федеральног</w:t>
      </w:r>
      <w:r>
        <w:rPr>
          <w:sz w:val="28"/>
          <w:szCs w:val="28"/>
        </w:rPr>
        <w:t xml:space="preserve">о закона от 31 июля 2020 года № 248-ФЗ «О государственном контроле (надзоре) и муниципальном контроле в Российской Федерации» в целях достижения общественно значимых результатов, связанных с минимизацией рисков причинения вреда (ущерба) охраняемым законом </w:t>
      </w:r>
      <w:r>
        <w:rPr>
          <w:sz w:val="28"/>
          <w:szCs w:val="28"/>
        </w:rPr>
        <w:t>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информация о возникновении, выявлении проблемы и мерах, принятых ранее для ее решения, достиг</w:t>
      </w:r>
      <w:r>
        <w:rPr>
          <w:sz w:val="28"/>
          <w:szCs w:val="28"/>
        </w:rPr>
        <w:t>нутых результатах и затраченных ресурсах: ранее не рассматривались и устанавливаются впервые</w:t>
      </w:r>
      <w:r>
        <w:rPr>
          <w:color w:val="000000" w:themeColor="text1"/>
          <w:sz w:val="28"/>
          <w:szCs w:val="28"/>
        </w:rPr>
        <w:t>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социальные группы, заинтересованные в устранении проблемы, их количественная оценка: юридические лица, индивидуальные предприниматели и граждане;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характерис</w:t>
      </w:r>
      <w:r>
        <w:rPr>
          <w:sz w:val="28"/>
          <w:szCs w:val="28"/>
        </w:rPr>
        <w:t>тика негативных эффектов, возникающих в связи с наличием проблемы, их количественная оценка: отсутствует;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причины возникновения проблемы и факторы, поддерживающие ее существование: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Федерального закона от 31 июля 2020 года № 248-ФЗ «О государс</w:t>
      </w:r>
      <w:r>
        <w:rPr>
          <w:sz w:val="28"/>
          <w:szCs w:val="28"/>
        </w:rPr>
        <w:t>твенном контроле (надзоре) и муниципальном контроле в Российской Федерации»;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причины невозможности решения проблемы участниками соответствующих отношений самостоятельно: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контроль в сфере благоустройства осуществляется уполномоченными орган</w:t>
      </w:r>
      <w:r>
        <w:rPr>
          <w:sz w:val="28"/>
          <w:szCs w:val="28"/>
        </w:rPr>
        <w:t>ами местного самоуправления в соответствии с положением, утверждаемым представительным органом муниципального образования;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опыт решения аналогичных проблем в других субъектах Российской Федерации: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в соответствии с Фед</w:t>
      </w:r>
      <w:r>
        <w:rPr>
          <w:sz w:val="28"/>
          <w:szCs w:val="28"/>
        </w:rPr>
        <w:t>еральным законом от 31 июля 2020 года № 248-ФЗ «О государственном контроле (надзоре) и муниципальном контроле в Российской Федерациг» в целях реализации вопросов местного значения, предусмотренных Федеральным 3 законом от 06 октября 2003 года № 131 -ФЗ «Об</w:t>
      </w:r>
      <w:r>
        <w:rPr>
          <w:sz w:val="28"/>
          <w:szCs w:val="28"/>
        </w:rPr>
        <w:t xml:space="preserve"> общих принципах организации местного самоуправления в Российской Федерации»;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 источники данных: 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информационно-телекоммуникационная сеть «Интернет»;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 иная информация о проблеме:отсутствует.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 Определение целей предлагаемого правового регулирования и </w:t>
      </w:r>
      <w:r>
        <w:rPr>
          <w:bCs/>
          <w:sz w:val="28"/>
          <w:szCs w:val="28"/>
        </w:rPr>
        <w:t>индикаторов для оценки их достижения:</w:t>
      </w:r>
    </w:p>
    <w:p w:rsidR="00AE7639" w:rsidRDefault="00AE7639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4431"/>
        <w:gridCol w:w="2633"/>
      </w:tblGrid>
      <w:tr w:rsidR="00AE7639">
        <w:trPr>
          <w:trHeight w:val="580"/>
        </w:trPr>
        <w:tc>
          <w:tcPr>
            <w:tcW w:w="2235" w:type="dxa"/>
            <w:noWrap/>
          </w:tcPr>
          <w:p w:rsidR="00AE7639" w:rsidRDefault="003915EA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цели предлагаемого правовогорегулирования</w:t>
            </w:r>
          </w:p>
        </w:tc>
        <w:tc>
          <w:tcPr>
            <w:tcW w:w="4536" w:type="dxa"/>
            <w:noWrap/>
          </w:tcPr>
          <w:p w:rsidR="00AE7639" w:rsidRDefault="003915EA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сроки достижения целей предлагаемого правовогорегулирования</w:t>
            </w:r>
          </w:p>
        </w:tc>
        <w:tc>
          <w:tcPr>
            <w:tcW w:w="2693" w:type="dxa"/>
            <w:noWrap/>
          </w:tcPr>
          <w:p w:rsidR="00AE7639" w:rsidRDefault="003915EA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периодичность мониторинга достижения целей предлагаемого правовогорегулирования</w:t>
            </w:r>
          </w:p>
        </w:tc>
      </w:tr>
      <w:tr w:rsidR="00AE7639">
        <w:trPr>
          <w:trHeight w:val="184"/>
        </w:trPr>
        <w:tc>
          <w:tcPr>
            <w:tcW w:w="2235" w:type="dxa"/>
            <w:noWrap/>
            <w:vAlign w:val="center"/>
          </w:tcPr>
          <w:p w:rsidR="00AE7639" w:rsidRDefault="003915EA">
            <w:pPr>
              <w:pStyle w:val="af2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соответствие с действующим законодательством</w:t>
            </w:r>
          </w:p>
        </w:tc>
        <w:tc>
          <w:tcPr>
            <w:tcW w:w="4536" w:type="dxa"/>
            <w:noWrap/>
            <w:vAlign w:val="center"/>
          </w:tcPr>
          <w:p w:rsidR="00AE7639" w:rsidRDefault="003915EA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w="2693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</w:t>
      </w:r>
      <w:r>
        <w:rPr>
          <w:color w:val="000000"/>
          <w:sz w:val="28"/>
          <w:szCs w:val="28"/>
        </w:rPr>
        <w:t xml:space="preserve">ействующие нормативные </w:t>
      </w:r>
      <w:r>
        <w:rPr>
          <w:color w:val="000000"/>
          <w:sz w:val="28"/>
          <w:szCs w:val="28"/>
        </w:rPr>
        <w:t xml:space="preserve">правовые акты, поручения, другие решения, из которых вытекает необходимость разработки </w:t>
      </w:r>
      <w:r>
        <w:rPr>
          <w:sz w:val="28"/>
          <w:szCs w:val="28"/>
        </w:rPr>
        <w:t>предлагаемого правового</w:t>
      </w:r>
      <w:r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>
        <w:rPr>
          <w:sz w:val="28"/>
          <w:szCs w:val="28"/>
        </w:rPr>
        <w:t>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 октября 2003 года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Федерации»; Федеральный закон от 31 июля 2020 года № 248-ФЗ «О государственном контроле (надзоре) и муниципальном контроле в Российской Федерации»;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551"/>
        <w:gridCol w:w="1418"/>
        <w:gridCol w:w="1701"/>
      </w:tblGrid>
      <w:tr w:rsidR="00AE7639">
        <w:trPr>
          <w:trHeight w:val="968"/>
        </w:trPr>
        <w:tc>
          <w:tcPr>
            <w:tcW w:w="3794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5)цели предлагаемого правовогорегулирова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6) индикаторы достижения целей предлагаемого правовогорегулирования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7) ед. измерения индикаторов</w:t>
            </w:r>
          </w:p>
        </w:tc>
        <w:tc>
          <w:tcPr>
            <w:tcW w:w="1701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8) целевые значения индикаторов по годам</w:t>
            </w:r>
          </w:p>
        </w:tc>
      </w:tr>
      <w:tr w:rsidR="00AE7639">
        <w:trPr>
          <w:trHeight w:val="403"/>
        </w:trPr>
        <w:tc>
          <w:tcPr>
            <w:tcW w:w="3794" w:type="dxa"/>
            <w:noWrap/>
          </w:tcPr>
          <w:p w:rsidR="00AE7639" w:rsidRDefault="003915EA">
            <w:pPr>
              <w:widowControl w:val="0"/>
              <w:rPr>
                <w:iCs/>
              </w:rPr>
            </w:pPr>
            <w:r>
              <w:rPr>
                <w:sz w:val="22"/>
                <w:szCs w:val="22"/>
              </w:rPr>
              <w:t>приведение в соответствие с действующим законодательством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методы расчета индикаторов достижения целей предлагаемого правовогорегулирования, источники информации для расчетов: отсутствуют;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оценка затрат на проведение мониторинга достижения целей предлагаемого правовогорегулирования:отсутствует.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Качественная</w:t>
      </w:r>
      <w:r>
        <w:rPr>
          <w:bCs/>
          <w:sz w:val="28"/>
          <w:szCs w:val="28"/>
        </w:rPr>
        <w:t xml:space="preserve"> характеристика и оценка численности потенциальных </w:t>
      </w:r>
      <w:r>
        <w:rPr>
          <w:bCs/>
          <w:sz w:val="28"/>
          <w:szCs w:val="28"/>
        </w:rPr>
        <w:lastRenderedPageBreak/>
        <w:t>адресатов предлагаемого правового регулирования (их групп):</w:t>
      </w:r>
    </w:p>
    <w:p w:rsidR="00AE7639" w:rsidRDefault="00AE7639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2126"/>
        <w:gridCol w:w="2835"/>
      </w:tblGrid>
      <w:tr w:rsidR="00AE7639">
        <w:trPr>
          <w:trHeight w:val="805"/>
        </w:trPr>
        <w:tc>
          <w:tcPr>
            <w:tcW w:w="4503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1) группы потенциальных адресатов предлагаемого правовогорегулирования (краткое описание их качественных характеристик)</w:t>
            </w:r>
          </w:p>
        </w:tc>
        <w:tc>
          <w:tcPr>
            <w:tcW w:w="2126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2) количество участников</w:t>
            </w:r>
            <w:r>
              <w:rPr>
                <w:sz w:val="22"/>
                <w:szCs w:val="22"/>
              </w:rPr>
              <w:t xml:space="preserve"> группы</w:t>
            </w:r>
          </w:p>
        </w:tc>
        <w:tc>
          <w:tcPr>
            <w:tcW w:w="2835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3) источники данных</w:t>
            </w:r>
          </w:p>
        </w:tc>
      </w:tr>
      <w:tr w:rsidR="00AE7639">
        <w:trPr>
          <w:trHeight w:val="534"/>
        </w:trPr>
        <w:tc>
          <w:tcPr>
            <w:tcW w:w="4503" w:type="dxa"/>
            <w:noWrap/>
          </w:tcPr>
          <w:p w:rsidR="00AE7639" w:rsidRDefault="003915EA">
            <w:pPr>
              <w:widowControl w:val="0"/>
              <w:jc w:val="both"/>
              <w:rPr>
                <w:iCs/>
              </w:rPr>
            </w:pPr>
            <w:r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  <w:tc>
          <w:tcPr>
            <w:tcW w:w="2126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Изменение функций (полномочий, обязанностей, прав)</w:t>
      </w:r>
      <w:r>
        <w:rPr>
          <w:sz w:val="28"/>
          <w:szCs w:val="28"/>
        </w:rPr>
        <w:t xml:space="preserve"> отраслевых (функциональных) </w:t>
      </w:r>
      <w:r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регулирования:</w:t>
      </w:r>
    </w:p>
    <w:p w:rsidR="00AE7639" w:rsidRDefault="00AE7639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2518"/>
        <w:gridCol w:w="1559"/>
        <w:gridCol w:w="1418"/>
        <w:gridCol w:w="2551"/>
        <w:gridCol w:w="1524"/>
      </w:tblGrid>
      <w:tr w:rsidR="00AE7639">
        <w:tc>
          <w:tcPr>
            <w:tcW w:w="25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1) наименование функции (полномочия, обязанности или права)</w:t>
            </w:r>
          </w:p>
        </w:tc>
        <w:tc>
          <w:tcPr>
            <w:tcW w:w="1559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2) характер функции (новая/изменяемая/отменяемая)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3) предполагаемый порядок реализации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4) оценка изменения трудовых затрат (чел./час в год), изменения численности сотрудников</w:t>
            </w:r>
          </w:p>
        </w:tc>
        <w:tc>
          <w:tcPr>
            <w:tcW w:w="152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5) оценка изменения потребностей в других ресурсах</w:t>
            </w:r>
          </w:p>
        </w:tc>
      </w:tr>
      <w:tr w:rsidR="00AE7639">
        <w:tc>
          <w:tcPr>
            <w:tcW w:w="9570" w:type="dxa"/>
            <w:gridSpan w:val="5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отраслевого (функционального) органа администрации города Ставропо</w:t>
            </w:r>
            <w:r>
              <w:rPr>
                <w:bCs/>
                <w:sz w:val="22"/>
                <w:szCs w:val="22"/>
              </w:rPr>
              <w:t>ля (органа 1)</w:t>
            </w:r>
          </w:p>
        </w:tc>
      </w:tr>
      <w:tr w:rsidR="00AE7639">
        <w:tc>
          <w:tcPr>
            <w:tcW w:w="2518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1.1</w:t>
            </w:r>
          </w:p>
        </w:tc>
        <w:tc>
          <w:tcPr>
            <w:tcW w:w="1559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c>
          <w:tcPr>
            <w:tcW w:w="2518" w:type="dxa"/>
            <w:noWrap/>
          </w:tcPr>
          <w:p w:rsidR="00AE7639" w:rsidRDefault="003915E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1.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559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c>
          <w:tcPr>
            <w:tcW w:w="9570" w:type="dxa"/>
            <w:gridSpan w:val="5"/>
            <w:noWrap/>
          </w:tcPr>
          <w:p w:rsidR="00AE7639" w:rsidRDefault="003915E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Наименование отраслевого (функционального) органа администрации города Ставрополя (органа К)</w:t>
            </w:r>
          </w:p>
        </w:tc>
      </w:tr>
      <w:tr w:rsidR="00AE7639">
        <w:tc>
          <w:tcPr>
            <w:tcW w:w="2518" w:type="dxa"/>
            <w:noWrap/>
          </w:tcPr>
          <w:p w:rsidR="00AE7639" w:rsidRDefault="003915E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К.1</w:t>
            </w:r>
          </w:p>
        </w:tc>
        <w:tc>
          <w:tcPr>
            <w:tcW w:w="1559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c>
          <w:tcPr>
            <w:tcW w:w="2518" w:type="dxa"/>
            <w:noWrap/>
          </w:tcPr>
          <w:p w:rsidR="00AE7639" w:rsidRDefault="003915EA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Функция (полномочие, обязанность или право) К.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559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2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Оценка дополнительных расходов (доходов) бюджета города Ставрополя, связанных с введением предлагаемого правового регулирования: </w:t>
      </w:r>
    </w:p>
    <w:p w:rsidR="00AE7639" w:rsidRDefault="00AE7639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5386"/>
        <w:gridCol w:w="1984"/>
      </w:tblGrid>
      <w:tr w:rsidR="00AE7639">
        <w:trPr>
          <w:trHeight w:val="1075"/>
        </w:trPr>
        <w:tc>
          <w:tcPr>
            <w:tcW w:w="2235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1)н</w:t>
            </w:r>
            <w:r>
              <w:rPr>
                <w:sz w:val="22"/>
                <w:szCs w:val="22"/>
              </w:rPr>
              <w:t>аименование функции (полномочия, обязанности или права)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 (в соответствии с подпунктом 1 пункта 5 настоящего Приложения)</w:t>
            </w: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2)виды расходов 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(возможных поступлений) 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бюджета города Ставрополя 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3)количественная оценка расходов и возможных поступлений, 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</w:tr>
      <w:tr w:rsidR="00AE7639">
        <w:trPr>
          <w:trHeight w:val="145"/>
        </w:trPr>
        <w:tc>
          <w:tcPr>
            <w:tcW w:w="9605" w:type="dxa"/>
            <w:gridSpan w:val="3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отраслевого (функционального) </w:t>
            </w:r>
            <w:r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>
              <w:rPr>
                <w:iCs/>
                <w:sz w:val="22"/>
                <w:szCs w:val="22"/>
              </w:rPr>
              <w:t>(от 1 до К):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 w:val="restart"/>
            <w:noWrap/>
          </w:tcPr>
          <w:p w:rsidR="00AE7639" w:rsidRDefault="003915EA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Функция (полномочие, обязанность </w:t>
            </w:r>
          </w:p>
          <w:p w:rsidR="00AE7639" w:rsidRDefault="003915EA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или право) 1.1 </w:t>
            </w: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Единовременные расходы (от 1 до №) в 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/>
            <w:noWrap/>
          </w:tcPr>
          <w:p w:rsidR="00AE7639" w:rsidRDefault="00AE763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Периодические расходы (от 1 до №) за период 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/>
            <w:noWrap/>
          </w:tcPr>
          <w:p w:rsidR="00AE7639" w:rsidRDefault="00AE763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 w:val="restart"/>
            <w:noWrap/>
          </w:tcPr>
          <w:p w:rsidR="00AE7639" w:rsidRDefault="003915EA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 xml:space="preserve">Функция (полномочие, обязанность </w:t>
            </w:r>
          </w:p>
          <w:p w:rsidR="00AE7639" w:rsidRDefault="003915EA">
            <w:pPr>
              <w:widowControl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или право) 1.</w:t>
            </w:r>
            <w:r>
              <w:rPr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Единовременные расходы (от 1 до №) в 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/>
            <w:noWrap/>
          </w:tcPr>
          <w:p w:rsidR="00AE7639" w:rsidRDefault="00AE763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Периодические расходы (от 1 до №) за период 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cantSplit/>
          <w:trHeight w:val="145"/>
        </w:trPr>
        <w:tc>
          <w:tcPr>
            <w:tcW w:w="2235" w:type="dxa"/>
            <w:vMerge/>
            <w:noWrap/>
          </w:tcPr>
          <w:p w:rsidR="00AE7639" w:rsidRDefault="00AE7639">
            <w:pPr>
              <w:widowControl w:val="0"/>
              <w:jc w:val="both"/>
              <w:rPr>
                <w:iCs/>
              </w:rPr>
            </w:pPr>
          </w:p>
        </w:tc>
        <w:tc>
          <w:tcPr>
            <w:tcW w:w="5386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trHeight w:val="285"/>
        </w:trPr>
        <w:tc>
          <w:tcPr>
            <w:tcW w:w="7621" w:type="dxa"/>
            <w:gridSpan w:val="2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Итого единовременные расходы за период 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trHeight w:val="275"/>
        </w:trPr>
        <w:tc>
          <w:tcPr>
            <w:tcW w:w="7621" w:type="dxa"/>
            <w:gridSpan w:val="2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Итого периодические расходы за период 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E7639">
        <w:trPr>
          <w:trHeight w:val="251"/>
        </w:trPr>
        <w:tc>
          <w:tcPr>
            <w:tcW w:w="7621" w:type="dxa"/>
            <w:gridSpan w:val="2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Итого возможные доходы за период  гг.:</w:t>
            </w:r>
          </w:p>
        </w:tc>
        <w:tc>
          <w:tcPr>
            <w:tcW w:w="1984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другие сведения о дополнительных расходах (доходах) бюджета города Ставрополя,</w:t>
      </w:r>
      <w:r>
        <w:rPr>
          <w:sz w:val="28"/>
          <w:szCs w:val="28"/>
        </w:rPr>
        <w:t xml:space="preserve"> возникающих в связи с введением предлагаемого правового регулирования:отсутствуют;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источники данных: отсутствуют.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</w:t>
      </w:r>
      <w:r>
        <w:rPr>
          <w:bCs/>
          <w:sz w:val="28"/>
          <w:szCs w:val="28"/>
        </w:rPr>
        <w:t>сходы (доходы):</w:t>
      </w:r>
    </w:p>
    <w:p w:rsidR="00AE7639" w:rsidRDefault="00AE7639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64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7"/>
        <w:gridCol w:w="2976"/>
        <w:gridCol w:w="1701"/>
        <w:gridCol w:w="1418"/>
      </w:tblGrid>
      <w:tr w:rsidR="00AE7639">
        <w:trPr>
          <w:trHeight w:val="138"/>
        </w:trPr>
        <w:tc>
          <w:tcPr>
            <w:tcW w:w="3547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1) группы потенциальных адресатов предлагаемогоправовогорегулирования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iCs/>
                <w:sz w:val="22"/>
                <w:szCs w:val="22"/>
              </w:rPr>
              <w:t>(в соответствии с подпунктом 1 пункта 4 настоящего Приложения)</w:t>
            </w:r>
          </w:p>
        </w:tc>
        <w:tc>
          <w:tcPr>
            <w:tcW w:w="2976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2) новые обязанности и ограничения, изменения существующих обязанностей и ограничений, вводимыепредлагаемы</w:t>
            </w:r>
            <w:r>
              <w:rPr>
                <w:sz w:val="22"/>
                <w:szCs w:val="22"/>
              </w:rPr>
              <w:t xml:space="preserve">м правовымрегулированием </w:t>
            </w:r>
            <w:r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701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3) 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4) количест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венная оценка,</w:t>
            </w:r>
          </w:p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</w:tr>
      <w:tr w:rsidR="00AE7639">
        <w:trPr>
          <w:cantSplit/>
          <w:trHeight w:val="343"/>
        </w:trPr>
        <w:tc>
          <w:tcPr>
            <w:tcW w:w="3547" w:type="dxa"/>
            <w:noWrap/>
          </w:tcPr>
          <w:p w:rsidR="00AE7639" w:rsidRDefault="003915EA">
            <w:pPr>
              <w:widowControl w:val="0"/>
              <w:jc w:val="both"/>
            </w:pPr>
            <w:bookmarkStart w:id="0" w:name="_GoBack"/>
            <w:r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  <w:bookmarkEnd w:id="0"/>
          </w:p>
        </w:tc>
        <w:tc>
          <w:tcPr>
            <w:tcW w:w="2976" w:type="dxa"/>
            <w:noWrap/>
          </w:tcPr>
          <w:p w:rsidR="00AE7639" w:rsidRDefault="003915E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1701" w:type="dxa"/>
            <w:noWrap/>
          </w:tcPr>
          <w:p w:rsidR="00AE7639" w:rsidRDefault="003915E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1418" w:type="dxa"/>
            <w:noWrap/>
          </w:tcPr>
          <w:p w:rsidR="00AE7639" w:rsidRDefault="003915EA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отсутствует</w:t>
            </w:r>
          </w:p>
        </w:tc>
      </w:tr>
    </w:tbl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издержки и выгоды адресатов предлагаемого правовогорегулирования, не поддающиеся количественной оценке:отсутствуют;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источники данных:отсутствуют.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AE7639">
        <w:trPr>
          <w:trHeight w:val="1047"/>
        </w:trPr>
        <w:tc>
          <w:tcPr>
            <w:tcW w:w="1575" w:type="dxa"/>
            <w:noWrap/>
          </w:tcPr>
          <w:p w:rsidR="00AE7639" w:rsidRDefault="003915EA">
            <w:pPr>
              <w:widowControl w:val="0"/>
              <w:tabs>
                <w:tab w:val="left" w:pos="284"/>
              </w:tabs>
              <w:jc w:val="both"/>
            </w:pPr>
            <w:r>
              <w:rPr>
                <w:sz w:val="22"/>
                <w:szCs w:val="22"/>
              </w:rPr>
              <w:t>1) виды рисков</w:t>
            </w:r>
          </w:p>
        </w:tc>
        <w:tc>
          <w:tcPr>
            <w:tcW w:w="2687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2) оценка вероятности наступления неблагоприятных последствий</w:t>
            </w:r>
          </w:p>
        </w:tc>
        <w:tc>
          <w:tcPr>
            <w:tcW w:w="2412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3) методы контроля рисков</w:t>
            </w:r>
          </w:p>
        </w:tc>
        <w:tc>
          <w:tcPr>
            <w:tcW w:w="2790" w:type="dxa"/>
            <w:noWrap/>
          </w:tcPr>
          <w:p w:rsidR="00AE7639" w:rsidRDefault="003915EA">
            <w:pPr>
              <w:widowControl w:val="0"/>
              <w:jc w:val="center"/>
            </w:pPr>
            <w:r>
              <w:rPr>
                <w:sz w:val="22"/>
                <w:szCs w:val="22"/>
              </w:rPr>
              <w:t>4) степень контроля рисков (</w:t>
            </w:r>
            <w:r>
              <w:rPr>
                <w:iCs/>
                <w:sz w:val="22"/>
                <w:szCs w:val="22"/>
              </w:rPr>
              <w:t>полный/частичный/ отсутствует</w:t>
            </w:r>
            <w:r>
              <w:rPr>
                <w:sz w:val="22"/>
                <w:szCs w:val="22"/>
              </w:rPr>
              <w:t>)</w:t>
            </w:r>
          </w:p>
          <w:p w:rsidR="00AE7639" w:rsidRDefault="00AE7639">
            <w:pPr>
              <w:widowControl w:val="0"/>
              <w:jc w:val="center"/>
            </w:pPr>
          </w:p>
        </w:tc>
      </w:tr>
      <w:tr w:rsidR="00AE7639">
        <w:trPr>
          <w:trHeight w:val="54"/>
        </w:trPr>
        <w:tc>
          <w:tcPr>
            <w:tcW w:w="1575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не выявлены</w:t>
            </w:r>
          </w:p>
        </w:tc>
        <w:tc>
          <w:tcPr>
            <w:tcW w:w="2687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2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790" w:type="dxa"/>
            <w:noWrap/>
          </w:tcPr>
          <w:p w:rsidR="00AE7639" w:rsidRDefault="003915E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E7639" w:rsidRDefault="003915EA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источники данных:отсутствуют.</w:t>
      </w:r>
    </w:p>
    <w:p w:rsidR="00AE7639" w:rsidRDefault="003915EA">
      <w:pPr>
        <w:widowControl w:val="0"/>
        <w:pBdr>
          <w:bottom w:val="single" w:sz="4" w:space="0" w:color="auto"/>
        </w:pBd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276"/>
        <w:gridCol w:w="1275"/>
        <w:gridCol w:w="1418"/>
      </w:tblGrid>
      <w:tr w:rsidR="00AE7639">
        <w:trPr>
          <w:trHeight w:val="47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39" w:rsidRDefault="003915E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639" w:rsidRDefault="003915E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639" w:rsidRDefault="003915E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639" w:rsidRDefault="003915EA">
            <w:pPr>
              <w:widowControl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Вариант №</w:t>
            </w:r>
          </w:p>
        </w:tc>
      </w:tr>
      <w:tr w:rsidR="00AE7639">
        <w:trPr>
          <w:trHeight w:val="1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1)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639" w:rsidRDefault="003915EA">
            <w:pPr>
              <w:widowControl w:val="0"/>
              <w:spacing w:line="276" w:lineRule="auto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AE7639">
        <w:trPr>
          <w:trHeight w:val="339"/>
        </w:trPr>
        <w:tc>
          <w:tcPr>
            <w:tcW w:w="5495" w:type="dxa"/>
            <w:tcBorders>
              <w:top w:val="single" w:sz="4" w:space="0" w:color="auto"/>
            </w:tcBorders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2) к</w:t>
            </w:r>
            <w:r>
              <w:rPr>
                <w:iCs/>
                <w:sz w:val="22"/>
                <w:szCs w:val="22"/>
              </w:rPr>
              <w:t>ачественная характеристика и оценка динамики численности потенциальных адресатовпредлагаемого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</w:tcBorders>
            <w:noWrap/>
          </w:tcPr>
          <w:p w:rsidR="00AE7639" w:rsidRDefault="00AE7639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AE7639">
        <w:trPr>
          <w:trHeight w:val="960"/>
        </w:trPr>
        <w:tc>
          <w:tcPr>
            <w:tcW w:w="5495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3) оценка дополнительных расходов (доходов) потенциальных адресатов регулирования, связанных с введен</w:t>
            </w:r>
            <w:r>
              <w:rPr>
                <w:iCs/>
                <w:sz w:val="22"/>
                <w:szCs w:val="22"/>
              </w:rPr>
              <w:t>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AE7639" w:rsidRDefault="00AE7639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AE7639">
        <w:trPr>
          <w:trHeight w:val="715"/>
        </w:trPr>
        <w:tc>
          <w:tcPr>
            <w:tcW w:w="5495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4) 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AE7639" w:rsidRDefault="00AE7639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AE7639">
        <w:trPr>
          <w:trHeight w:val="702"/>
        </w:trPr>
        <w:tc>
          <w:tcPr>
            <w:tcW w:w="5495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5) оценка возможности достижения заявленных  целей регулирования (в соответствии с </w:t>
            </w:r>
            <w:r>
              <w:rPr>
                <w:iCs/>
                <w:sz w:val="22"/>
                <w:szCs w:val="22"/>
              </w:rPr>
              <w:t>подпунктом 1 пункта 3)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  <w:noWrap/>
          </w:tcPr>
          <w:p w:rsidR="00AE7639" w:rsidRDefault="00AE7639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AE7639">
        <w:trPr>
          <w:trHeight w:val="70"/>
        </w:trPr>
        <w:tc>
          <w:tcPr>
            <w:tcW w:w="5495" w:type="dxa"/>
            <w:noWrap/>
          </w:tcPr>
          <w:p w:rsidR="00AE7639" w:rsidRDefault="003915EA">
            <w:pPr>
              <w:widowControl w:val="0"/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6)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  <w:noWrap/>
          </w:tcPr>
          <w:p w:rsidR="00AE7639" w:rsidRDefault="00AE7639">
            <w:pPr>
              <w:widowControl w:val="0"/>
              <w:spacing w:line="276" w:lineRule="auto"/>
              <w:jc w:val="both"/>
              <w:rPr>
                <w:i/>
                <w:iCs/>
              </w:rPr>
            </w:pPr>
          </w:p>
        </w:tc>
      </w:tr>
    </w:tbl>
    <w:p w:rsidR="00AE7639" w:rsidRDefault="003915EA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обоснование выбора предпочтительного варианта решения выявленной проблемы: отсутствует;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детальное описание предлагаемого варианта решения проблемы: отсутствует.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 Оценка необходимости установления переходного периода </w:t>
      </w:r>
      <w:r>
        <w:rPr>
          <w:bCs/>
          <w:sz w:val="28"/>
          <w:szCs w:val="28"/>
        </w:rPr>
        <w:t>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предполагаемая дата вступления в силу нормативного правового акта: 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п</w:t>
      </w:r>
      <w:r>
        <w:rPr>
          <w:sz w:val="28"/>
          <w:szCs w:val="28"/>
        </w:rPr>
        <w:t>осле дня его официального опубликованияв газете «Вечерний Ставрополь»;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необходимость установления переходного периода и (или) отсрочки введения предлагаемого правового регулирования: </w:t>
      </w:r>
      <w:r>
        <w:rPr>
          <w:iCs/>
          <w:sz w:val="28"/>
          <w:szCs w:val="28"/>
        </w:rPr>
        <w:t>отсутствует;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необходимость распространения предлагаемого правового </w:t>
      </w:r>
      <w:r>
        <w:rPr>
          <w:sz w:val="28"/>
          <w:szCs w:val="28"/>
        </w:rPr>
        <w:t xml:space="preserve">регулирования на ранее возникшие отношения: </w:t>
      </w:r>
      <w:r>
        <w:rPr>
          <w:iCs/>
          <w:sz w:val="28"/>
          <w:szCs w:val="28"/>
        </w:rPr>
        <w:t>отсутствует;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4)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правового регулирования на ранее возник</w:t>
      </w:r>
      <w:r>
        <w:rPr>
          <w:sz w:val="28"/>
          <w:szCs w:val="28"/>
        </w:rPr>
        <w:t>шие отношения: отсутствует.</w:t>
      </w:r>
    </w:p>
    <w:p w:rsidR="00AE7639" w:rsidRDefault="003915E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11. </w:t>
      </w:r>
      <w:r>
        <w:rPr>
          <w:sz w:val="28"/>
          <w:szCs w:val="28"/>
        </w:rPr>
        <w:t>Информация о сроках проведения публичных консультаций по проекту правового акта и сводному отчету о результатах проведения оценки регулирующего воздействия проекта нормативного правового акта Ставропольской городской Думы (д</w:t>
      </w:r>
      <w:r>
        <w:rPr>
          <w:sz w:val="28"/>
          <w:szCs w:val="28"/>
        </w:rPr>
        <w:t>алее - сводный отчет) (заполняется по итогам проведения публичных консультаций по проекту правового акта и сводного отчета):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срок, в течение которого принимались предложения в связи с публичными консультациями по проекту правового акта и сводному отчету</w:t>
      </w:r>
      <w:r>
        <w:rPr>
          <w:sz w:val="28"/>
          <w:szCs w:val="28"/>
        </w:rPr>
        <w:t>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начало: «__» ________ 2023 года; окончание: «__» _______2023 года;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сведения о количестве замечаний и предложений, полученных в ходе публичных консультаций по проекту правового акта: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замечаний и предложений: __, из них учтено: полностью: __, учте</w:t>
      </w:r>
      <w:r>
        <w:rPr>
          <w:sz w:val="28"/>
          <w:szCs w:val="28"/>
        </w:rPr>
        <w:t>но частично: __;</w:t>
      </w:r>
    </w:p>
    <w:p w:rsidR="00AE7639" w:rsidRDefault="003915E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полный электронный адрес размещения сводки поступивших предложений по итогам проведения публичных консультаций по проекту правового акта: ____________________________________________________</w:t>
      </w:r>
    </w:p>
    <w:p w:rsidR="00AE7639" w:rsidRDefault="00AE7639">
      <w:pPr>
        <w:widowControl w:val="0"/>
        <w:ind w:firstLine="709"/>
        <w:jc w:val="both"/>
        <w:rPr>
          <w:sz w:val="28"/>
          <w:szCs w:val="28"/>
        </w:rPr>
      </w:pPr>
    </w:p>
    <w:p w:rsidR="00AE7639" w:rsidRDefault="00AE7639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AE763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</w:p>
    <w:p w:rsidR="00AE7639" w:rsidRDefault="003915EA">
      <w:pPr>
        <w:pStyle w:val="af7"/>
        <w:spacing w:line="240" w:lineRule="exact"/>
        <w:ind w:firstLine="0"/>
        <w:rPr>
          <w:sz w:val="20"/>
        </w:rPr>
      </w:pPr>
      <w:r>
        <w:rPr>
          <w:sz w:val="20"/>
        </w:rPr>
        <w:t>А.В. Попова</w:t>
      </w:r>
    </w:p>
    <w:p w:rsidR="00AE7639" w:rsidRDefault="003915EA">
      <w:pPr>
        <w:pStyle w:val="af7"/>
        <w:spacing w:line="240" w:lineRule="exact"/>
        <w:ind w:firstLine="0"/>
        <w:rPr>
          <w:sz w:val="20"/>
        </w:rPr>
      </w:pPr>
      <w:r>
        <w:rPr>
          <w:sz w:val="20"/>
        </w:rPr>
        <w:t>35-58-95</w:t>
      </w:r>
    </w:p>
    <w:sectPr w:rsidR="00AE7639" w:rsidSect="00AE7639">
      <w:headerReference w:type="default" r:id="rId9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EA" w:rsidRDefault="003915EA">
      <w:r>
        <w:separator/>
      </w:r>
    </w:p>
  </w:endnote>
  <w:endnote w:type="continuationSeparator" w:id="1">
    <w:p w:rsidR="003915EA" w:rsidRDefault="00391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EA" w:rsidRDefault="003915EA">
      <w:r>
        <w:separator/>
      </w:r>
    </w:p>
  </w:footnote>
  <w:footnote w:type="continuationSeparator" w:id="1">
    <w:p w:rsidR="003915EA" w:rsidRDefault="00391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39" w:rsidRDefault="00AE763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915EA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32F4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E7639" w:rsidRDefault="00AE76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CBE"/>
    <w:multiLevelType w:val="hybridMultilevel"/>
    <w:tmpl w:val="0E94C97C"/>
    <w:lvl w:ilvl="0" w:tplc="383837C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 w:val="0"/>
      </w:rPr>
    </w:lvl>
    <w:lvl w:ilvl="1" w:tplc="3F5C167C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D14E4CFE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FA7ADB3C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972CD38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741828E8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CDCC827A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F0F2006E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D5F22D3C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639"/>
    <w:rsid w:val="003915EA"/>
    <w:rsid w:val="00AE7639"/>
    <w:rsid w:val="00E3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E76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E763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E76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E763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E76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E763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E76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E763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E763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E763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E76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E763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E76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E763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E76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E763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E76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E763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E763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E763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E7639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AE763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E763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E763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E76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E7639"/>
    <w:rPr>
      <w:i/>
    </w:rPr>
  </w:style>
  <w:style w:type="character" w:customStyle="1" w:styleId="HeaderChar">
    <w:name w:val="Header Char"/>
    <w:basedOn w:val="a0"/>
    <w:link w:val="Header"/>
    <w:uiPriority w:val="99"/>
    <w:rsid w:val="00AE7639"/>
  </w:style>
  <w:style w:type="paragraph" w:customStyle="1" w:styleId="Footer">
    <w:name w:val="Footer"/>
    <w:basedOn w:val="a"/>
    <w:link w:val="CaptionChar"/>
    <w:uiPriority w:val="99"/>
    <w:unhideWhenUsed/>
    <w:rsid w:val="00AE763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E76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E763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E7639"/>
  </w:style>
  <w:style w:type="table" w:customStyle="1" w:styleId="TableGridLight">
    <w:name w:val="Table Grid Light"/>
    <w:basedOn w:val="a1"/>
    <w:uiPriority w:val="59"/>
    <w:rsid w:val="00AE76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E76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E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E76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E76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E763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E7639"/>
    <w:rPr>
      <w:sz w:val="18"/>
    </w:rPr>
  </w:style>
  <w:style w:type="character" w:styleId="ab">
    <w:name w:val="footnote reference"/>
    <w:basedOn w:val="a0"/>
    <w:uiPriority w:val="99"/>
    <w:unhideWhenUsed/>
    <w:rsid w:val="00AE763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E7639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E7639"/>
    <w:rPr>
      <w:sz w:val="20"/>
    </w:rPr>
  </w:style>
  <w:style w:type="character" w:styleId="ae">
    <w:name w:val="endnote reference"/>
    <w:basedOn w:val="a0"/>
    <w:uiPriority w:val="99"/>
    <w:semiHidden/>
    <w:unhideWhenUsed/>
    <w:rsid w:val="00AE763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E7639"/>
    <w:pPr>
      <w:spacing w:after="57"/>
    </w:pPr>
  </w:style>
  <w:style w:type="paragraph" w:styleId="21">
    <w:name w:val="toc 2"/>
    <w:basedOn w:val="a"/>
    <w:next w:val="a"/>
    <w:uiPriority w:val="39"/>
    <w:unhideWhenUsed/>
    <w:rsid w:val="00AE763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763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E763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763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763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763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763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7639"/>
    <w:pPr>
      <w:spacing w:after="57"/>
      <w:ind w:left="2268"/>
    </w:pPr>
  </w:style>
  <w:style w:type="paragraph" w:styleId="af">
    <w:name w:val="TOC Heading"/>
    <w:uiPriority w:val="39"/>
    <w:unhideWhenUsed/>
    <w:rsid w:val="00AE7639"/>
  </w:style>
  <w:style w:type="paragraph" w:styleId="af0">
    <w:name w:val="table of figures"/>
    <w:basedOn w:val="a"/>
    <w:next w:val="a"/>
    <w:uiPriority w:val="99"/>
    <w:unhideWhenUsed/>
    <w:rsid w:val="00AE7639"/>
  </w:style>
  <w:style w:type="paragraph" w:styleId="af1">
    <w:name w:val="List Paragraph"/>
    <w:basedOn w:val="a"/>
    <w:uiPriority w:val="99"/>
    <w:qFormat/>
    <w:rsid w:val="00AE7639"/>
    <w:pPr>
      <w:ind w:left="720"/>
    </w:pPr>
  </w:style>
  <w:style w:type="paragraph" w:styleId="af2">
    <w:name w:val="No Spacing"/>
    <w:uiPriority w:val="99"/>
    <w:qFormat/>
    <w:rsid w:val="00A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3"/>
    <w:uiPriority w:val="99"/>
    <w:rsid w:val="00AE76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AE76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76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AE76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6">
    <w:name w:val="Normal (Web)"/>
    <w:basedOn w:val="a"/>
    <w:uiPriority w:val="99"/>
    <w:semiHidden/>
    <w:unhideWhenUsed/>
    <w:rsid w:val="00AE7639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AE7639"/>
    <w:pPr>
      <w:ind w:firstLine="851"/>
    </w:pPr>
    <w:rPr>
      <w:szCs w:val="20"/>
    </w:rPr>
  </w:style>
  <w:style w:type="character" w:customStyle="1" w:styleId="af8">
    <w:name w:val="Основной текст с отступом Знак"/>
    <w:basedOn w:val="a0"/>
    <w:link w:val="af7"/>
    <w:rsid w:val="00AE7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AE763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7639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Hyperlink"/>
    <w:basedOn w:val="a0"/>
    <w:uiPriority w:val="99"/>
    <w:unhideWhenUsed/>
    <w:rsid w:val="00AE7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h@sta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9BAF-43FF-4641-81A7-7ECADB4A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2021</Words>
  <Characters>11523</Characters>
  <Application>Microsoft Office Word</Application>
  <DocSecurity>0</DocSecurity>
  <Lines>96</Lines>
  <Paragraphs>27</Paragraphs>
  <ScaleCrop>false</ScaleCrop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407402427</cp:lastModifiedBy>
  <cp:revision>8</cp:revision>
  <dcterms:created xsi:type="dcterms:W3CDTF">2021-08-13T11:03:00Z</dcterms:created>
  <dcterms:modified xsi:type="dcterms:W3CDTF">2024-03-28T07:21:00Z</dcterms:modified>
</cp:coreProperties>
</file>