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/>
    </w:p>
    <w:p>
      <w:pPr>
        <w:pStyle w:val="6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города Ставрополя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</w:rPr>
        <w:t xml:space="preserve">«</w:t>
      </w:r>
      <w:r>
        <w:rPr>
          <w:sz w:val="28"/>
          <w:szCs w:val="28"/>
        </w:rPr>
        <w:t xml:space="preserve">Об установлении предельных (максимальных) тарифов </w:t>
      </w:r>
      <w:r>
        <w:rPr>
          <w:color w:val="000000"/>
          <w:sz w:val="28"/>
        </w:rPr>
        <w:t xml:space="preserve">на услуги, предоставляемые муниципальным автономным учреждением культуры </w:t>
      </w:r>
      <w:r>
        <w:rPr>
          <w:sz w:val="28"/>
          <w:szCs w:val="28"/>
        </w:rPr>
        <w:t xml:space="preserve">«Ставропольский Дворец культуры и спорта» города Ставрополя</w:t>
      </w:r>
      <w:r>
        <w:rPr>
          <w:sz w:val="28"/>
          <w:szCs w:val="28"/>
        </w:rPr>
        <w:t xml:space="preserve">»</w:t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Предлагаемый проект по</w:t>
      </w:r>
      <w:r>
        <w:rPr>
          <w:sz w:val="28"/>
          <w:szCs w:val="28"/>
        </w:rPr>
        <w:t xml:space="preserve">становления администрации города Ставрополя подготовлен в соответствии с Федеральным законом                   от 06 октября 2003 г. № 131-ФЗ «Об общих принципах организации местного самоуправления в Российской Федерации», решением Ставропольской городской</w:t>
      </w:r>
      <w:r>
        <w:rPr>
          <w:sz w:val="28"/>
          <w:szCs w:val="28"/>
        </w:rPr>
        <w:t xml:space="preserve"> Думы от 26 сентября 2018 г. № 266 «Об утверждении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муниципальными учреждениями города Ставрополя».</w:t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Комитетом экономического развития и торговли администрации города Ставрополя (далее – комитет) рассмотрено письменное заявление </w:t>
      </w:r>
      <w:r>
        <w:rPr>
          <w:color w:val="000000"/>
          <w:sz w:val="28"/>
        </w:rPr>
        <w:t xml:space="preserve">муниципа</w:t>
      </w:r>
      <w:r>
        <w:rPr>
          <w:color w:val="000000"/>
          <w:sz w:val="28"/>
        </w:rPr>
        <w:t xml:space="preserve">льного автономного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учреждения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</w:t>
      </w:r>
      <w:r>
        <w:rPr>
          <w:sz w:val="28"/>
          <w:szCs w:val="28"/>
        </w:rPr>
        <w:t xml:space="preserve"> (далее –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СДКиС</w:t>
      </w:r>
      <w:r>
        <w:rPr>
          <w:sz w:val="28"/>
          <w:szCs w:val="28"/>
        </w:rPr>
        <w:t xml:space="preserve">») </w:t>
      </w:r>
      <w:r/>
      <w:r>
        <w:rPr>
          <w:sz w:val="28"/>
          <w:szCs w:val="28"/>
        </w:rPr>
        <w:t xml:space="preserve">об установлении тарифов на услуги </w:t>
      </w:r>
      <w:r>
        <w:rPr>
          <w:sz w:val="28"/>
          <w:szCs w:val="28"/>
        </w:rPr>
        <w:t xml:space="preserve">по временному размещению транспортного средства на территории парковки</w:t>
      </w:r>
      <w:r>
        <w:rPr>
          <w:sz w:val="28"/>
          <w:szCs w:val="28"/>
        </w:rPr>
        <w:t xml:space="preserve">, расположенн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 адресам: Ставропольский край, город Ставрополь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Ленина, 371-а и улица Маршала Жукова, 1-б </w:t>
      </w:r>
      <w:r>
        <w:rPr>
          <w:sz w:val="28"/>
          <w:szCs w:val="28"/>
        </w:rPr>
        <w:t xml:space="preserve">закрепленн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за </w:t>
      </w:r>
      <w:r>
        <w:rPr>
          <w:color w:val="000000"/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СДКиС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</w:t>
      </w:r>
      <w:r>
        <w:rPr>
          <w:sz w:val="28"/>
          <w:szCs w:val="28"/>
        </w:rPr>
        <w:t xml:space="preserve">оперативного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находящейся </w:t>
      </w:r>
      <w:r>
        <w:rPr>
          <w:sz w:val="28"/>
          <w:szCs w:val="28"/>
        </w:rPr>
        <w:t xml:space="preserve">на балансе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учреждения</w:t>
      </w:r>
      <w:r>
        <w:rPr>
          <w:sz w:val="28"/>
          <w:szCs w:val="28"/>
        </w:rPr>
        <w:t xml:space="preserve">.</w:t>
      </w:r>
      <w:r/>
    </w:p>
    <w:p>
      <w:pPr>
        <w:contextualSpacing w:val="0"/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Действующие </w:t>
      </w:r>
      <w:r>
        <w:rPr>
          <w:sz w:val="28"/>
          <w:szCs w:val="28"/>
        </w:rPr>
        <w:t xml:space="preserve">предельны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е)</w:t>
      </w:r>
      <w:r>
        <w:rPr>
          <w:sz w:val="28"/>
          <w:szCs w:val="28"/>
        </w:rPr>
        <w:t xml:space="preserve"> тарифы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, предоставляем</w:t>
      </w:r>
      <w:r>
        <w:rPr>
          <w:color w:val="000000"/>
          <w:sz w:val="28"/>
        </w:rPr>
        <w:t xml:space="preserve">ые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СДКиС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тарифы), установлены постановлением администрации города Ставрополя </w:t>
      </w:r>
      <w:r>
        <w:rPr>
          <w:sz w:val="28"/>
          <w:szCs w:val="28"/>
        </w:rPr>
        <w:t xml:space="preserve">от 01.11.2021 № 2506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</w:t>
      </w:r>
      <w:r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х)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, 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Ставрополя»</w:t>
      </w:r>
      <w:r>
        <w:rPr>
          <w:szCs w:val="24"/>
        </w:rPr>
        <w:t xml:space="preserve">,</w:t>
      </w:r>
      <w:r>
        <w:rPr>
          <w:sz w:val="28"/>
          <w:szCs w:val="24"/>
        </w:rPr>
        <w:t xml:space="preserve"> которо</w:t>
      </w:r>
      <w:r>
        <w:rPr>
          <w:sz w:val="28"/>
        </w:rPr>
        <w:t xml:space="preserve">е вступило в силу с 04.11.2021 и период их действия в настоящее время составляет более одного года.</w:t>
      </w:r>
      <w:r>
        <w:rPr>
          <w:sz w:val="28"/>
          <w:szCs w:val="28"/>
        </w:rPr>
      </w:r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 установлении соответствия требованиям законодательства и экономической обоснованности рассчитанных тарифов на услуги </w:t>
      </w:r>
      <w:r>
        <w:rPr>
          <w:sz w:val="28"/>
          <w:szCs w:val="28"/>
        </w:rPr>
        <w:t xml:space="preserve">по временному размещению транспортного средства на территории парковки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исходил из достоверности материалов, представленных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СДКиС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702"/>
        <w:ind w:firstLine="708"/>
        <w:jc w:val="both"/>
      </w:pPr>
      <w:r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 xml:space="preserve">пересмотра </w:t>
      </w:r>
      <w:r>
        <w:rPr>
          <w:sz w:val="28"/>
          <w:szCs w:val="28"/>
        </w:rPr>
        <w:t xml:space="preserve">тарифов является рост более чем на </w:t>
        <w:br/>
      </w:r>
      <w:r>
        <w:rPr>
          <w:sz w:val="28"/>
          <w:szCs w:val="28"/>
        </w:rPr>
        <w:t xml:space="preserve">10 процентов суммарных расходов </w:t>
      </w:r>
      <w:r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на осуществление регулируемой деятельности по сравнению с расходами, принятыми при расчете тарифов на предыдущий расчетный период регулирования, </w:t>
      </w:r>
      <w:r>
        <w:rPr>
          <w:sz w:val="28"/>
          <w:szCs w:val="28"/>
        </w:rPr>
        <w:t xml:space="preserve">в том числе увеличение цен на материа</w:t>
      </w:r>
      <w:r>
        <w:rPr>
          <w:sz w:val="28"/>
          <w:szCs w:val="28"/>
        </w:rPr>
        <w:t xml:space="preserve">льные ресурсы, коммунальны</w:t>
      </w:r>
      <w:r>
        <w:rPr>
          <w:sz w:val="28"/>
          <w:szCs w:val="28"/>
        </w:rPr>
        <w:t xml:space="preserve">е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Принятие указанного проекта постановления влечет за собой признание утратившим силу постановления </w:t>
      </w: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от 01.11.2021 № 2506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</w:t>
      </w:r>
      <w:r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х)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, 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принятия данного проекта постановления администрации города Ставрополя обусловлена необходимостью пересмотра и установления тарифа на услуги </w:t>
      </w:r>
      <w:r>
        <w:rPr>
          <w:sz w:val="28"/>
          <w:szCs w:val="28"/>
        </w:rPr>
        <w:t xml:space="preserve">по временному размещению транспортного средства на территории парковки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СДКиС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  <w:r/>
    </w:p>
    <w:p>
      <w:pPr>
        <w:pStyle w:val="6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торговли </w:t>
      </w:r>
      <w:r/>
    </w:p>
    <w:p>
      <w:pPr>
        <w:pStyle w:val="6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Н.И. Меценатова</w:t>
      </w:r>
      <w:r>
        <w:rPr>
          <w:sz w:val="28"/>
          <w:szCs w:val="28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Т.А. Мезина</w:t>
      </w:r>
      <w:r/>
    </w:p>
    <w:p>
      <w:pPr>
        <w:pStyle w:val="686"/>
        <w:jc w:val="both"/>
        <w:spacing w:line="240" w:lineRule="exact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23-98-</w:t>
      </w:r>
      <w:r>
        <w:rPr>
          <w:sz w:val="20"/>
          <w:szCs w:val="20"/>
        </w:rPr>
        <w:t xml:space="preserve">10</w:t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17" w:right="567" w:bottom="1134" w:left="198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86"/>
                          </w:pPr>
                          <w:r/>
                          <w:r/>
                        </w:p>
                        <w:p>
                          <w:pPr>
                            <w:pStyle w:val="68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524288;o:allowoverlap:true;o:allowincell:true;mso-position-horizontal-relative:margin;mso-position-horizontal:center;mso-position-vertical-relative:text;margin-top:0.0pt;mso-position-vertical:absolute;width:6.0pt;height:13.8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pPr>
                      <w:pStyle w:val="686"/>
                    </w:pPr>
                    <w:r/>
                    <w:r/>
                  </w:p>
                  <w:p>
                    <w:pPr>
                      <w:pStyle w:val="6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/>
  </w:p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694"/>
        <w:sz w:val="28"/>
        <w:szCs w:val="28"/>
      </w:rPr>
      <w:framePr w:wrap="around" w:vAnchor="text" w:hAnchor="margin" w:xAlign="center" w:y="1"/>
    </w:pPr>
    <w:r>
      <w:rPr>
        <w:rStyle w:val="694"/>
        <w:sz w:val="28"/>
        <w:szCs w:val="28"/>
      </w:rPr>
      <w:fldChar w:fldCharType="begin"/>
    </w:r>
    <w:r>
      <w:rPr>
        <w:rStyle w:val="694"/>
        <w:sz w:val="28"/>
        <w:szCs w:val="28"/>
      </w:rPr>
      <w:instrText xml:space="preserve">PAGE  </w:instrText>
    </w:r>
    <w:r>
      <w:rPr>
        <w:rStyle w:val="694"/>
        <w:sz w:val="28"/>
        <w:szCs w:val="28"/>
      </w:rPr>
      <w:fldChar w:fldCharType="separate"/>
    </w:r>
    <w:r>
      <w:rPr>
        <w:rStyle w:val="694"/>
        <w:sz w:val="28"/>
        <w:szCs w:val="28"/>
      </w:rPr>
      <w:t xml:space="preserve">2</w:t>
    </w:r>
    <w:r>
      <w:rPr>
        <w:rStyle w:val="694"/>
        <w:sz w:val="28"/>
        <w:szCs w:val="28"/>
      </w:rPr>
      <w:fldChar w:fldCharType="end"/>
    </w:r>
    <w:r>
      <w:rPr>
        <w:rStyle w:val="694"/>
        <w:sz w:val="28"/>
        <w:szCs w:val="28"/>
      </w:rPr>
    </w:r>
    <w:r/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/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687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6"/>
    <w:next w:val="68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6"/>
    <w:next w:val="68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6"/>
    <w:next w:val="68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86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6"/>
    <w:next w:val="68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86"/>
    <w:next w:val="68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86"/>
    <w:next w:val="68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6"/>
    <w:next w:val="68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8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8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8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next w:val="686"/>
    <w:link w:val="686"/>
    <w:rPr>
      <w:sz w:val="24"/>
      <w:szCs w:val="24"/>
      <w:lang w:val="ru-RU" w:bidi="ar-SA" w:eastAsia="zh-CN"/>
    </w:rPr>
  </w:style>
  <w:style w:type="paragraph" w:styleId="687">
    <w:name w:val="Заголовок 3"/>
    <w:basedOn w:val="686"/>
    <w:next w:val="686"/>
    <w:link w:val="686"/>
    <w:pPr>
      <w:numPr>
        <w:ilvl w:val="2"/>
        <w:numId w:val="1"/>
      </w:numPr>
      <w:keepNext/>
      <w:outlineLvl w:val="2"/>
    </w:pPr>
    <w:rPr>
      <w:sz w:val="28"/>
      <w:szCs w:val="20"/>
    </w:rPr>
  </w:style>
  <w:style w:type="character" w:styleId="688">
    <w:name w:val="Основной шрифт абзаца"/>
    <w:next w:val="688"/>
    <w:link w:val="686"/>
  </w:style>
  <w:style w:type="table" w:styleId="689">
    <w:name w:val="Обычная таблица"/>
    <w:next w:val="689"/>
    <w:link w:val="686"/>
    <w:semiHidden/>
    <w:tblPr/>
  </w:style>
  <w:style w:type="numbering" w:styleId="690">
    <w:name w:val="Нет списка"/>
    <w:next w:val="690"/>
    <w:link w:val="686"/>
    <w:semiHidden/>
  </w:style>
  <w:style w:type="character" w:styleId="691">
    <w:name w:val="Основной шрифт абзаца2"/>
    <w:next w:val="691"/>
    <w:link w:val="686"/>
  </w:style>
  <w:style w:type="character" w:styleId="692">
    <w:name w:val="Absatz-Standardschriftart"/>
    <w:next w:val="692"/>
    <w:link w:val="686"/>
  </w:style>
  <w:style w:type="character" w:styleId="693">
    <w:name w:val="Основной шрифт абзаца1"/>
    <w:next w:val="693"/>
    <w:link w:val="686"/>
  </w:style>
  <w:style w:type="character" w:styleId="694">
    <w:name w:val="Номер страницы"/>
    <w:basedOn w:val="691"/>
    <w:next w:val="694"/>
    <w:link w:val="686"/>
  </w:style>
  <w:style w:type="paragraph" w:styleId="695">
    <w:name w:val="Заголовок"/>
    <w:basedOn w:val="686"/>
    <w:next w:val="696"/>
    <w:link w:val="68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96">
    <w:name w:val="Основной текст"/>
    <w:basedOn w:val="686"/>
    <w:next w:val="696"/>
    <w:link w:val="686"/>
    <w:pPr>
      <w:spacing w:before="0" w:after="120"/>
    </w:pPr>
  </w:style>
  <w:style w:type="paragraph" w:styleId="697">
    <w:name w:val="Список"/>
    <w:basedOn w:val="696"/>
    <w:next w:val="697"/>
    <w:link w:val="686"/>
  </w:style>
  <w:style w:type="paragraph" w:styleId="698">
    <w:name w:val="Название объекта"/>
    <w:basedOn w:val="686"/>
    <w:next w:val="698"/>
    <w:link w:val="686"/>
    <w:pPr>
      <w:spacing w:before="120" w:after="120"/>
      <w:suppressLineNumbers/>
    </w:pPr>
    <w:rPr>
      <w:i/>
      <w:iCs/>
      <w:sz w:val="24"/>
      <w:szCs w:val="24"/>
    </w:rPr>
  </w:style>
  <w:style w:type="paragraph" w:styleId="699">
    <w:name w:val="Указатель2"/>
    <w:basedOn w:val="686"/>
    <w:next w:val="699"/>
    <w:link w:val="686"/>
    <w:pPr>
      <w:suppressLineNumbers/>
    </w:pPr>
  </w:style>
  <w:style w:type="paragraph" w:styleId="700">
    <w:name w:val="Название объекта1"/>
    <w:basedOn w:val="686"/>
    <w:next w:val="700"/>
    <w:link w:val="686"/>
    <w:pPr>
      <w:spacing w:before="120" w:after="120"/>
      <w:suppressLineNumbers/>
    </w:pPr>
    <w:rPr>
      <w:i/>
      <w:iCs/>
      <w:sz w:val="24"/>
      <w:szCs w:val="24"/>
    </w:rPr>
  </w:style>
  <w:style w:type="paragraph" w:styleId="701">
    <w:name w:val="Указатель1"/>
    <w:basedOn w:val="686"/>
    <w:next w:val="701"/>
    <w:link w:val="686"/>
    <w:pPr>
      <w:suppressLineNumbers/>
    </w:pPr>
  </w:style>
  <w:style w:type="paragraph" w:styleId="702">
    <w:name w:val="Основной текст с отступом"/>
    <w:basedOn w:val="686"/>
    <w:next w:val="702"/>
    <w:link w:val="686"/>
    <w:pPr>
      <w:ind w:left="0" w:right="0" w:firstLine="851"/>
    </w:pPr>
    <w:rPr>
      <w:szCs w:val="20"/>
    </w:rPr>
  </w:style>
  <w:style w:type="paragraph" w:styleId="703">
    <w:name w:val="Текст выноски"/>
    <w:basedOn w:val="686"/>
    <w:next w:val="703"/>
    <w:link w:val="686"/>
    <w:rPr>
      <w:rFonts w:ascii="Tahoma" w:hAnsi="Tahoma"/>
      <w:sz w:val="16"/>
      <w:szCs w:val="16"/>
    </w:rPr>
  </w:style>
  <w:style w:type="paragraph" w:styleId="704">
    <w:name w:val="Основной текст 21"/>
    <w:basedOn w:val="686"/>
    <w:next w:val="704"/>
    <w:link w:val="686"/>
    <w:pPr>
      <w:spacing w:before="0" w:after="120" w:line="480" w:lineRule="auto"/>
    </w:pPr>
  </w:style>
  <w:style w:type="paragraph" w:styleId="705">
    <w:name w:val=" Знак"/>
    <w:basedOn w:val="686"/>
    <w:next w:val="705"/>
    <w:link w:val="6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706">
    <w:name w:val="Нижний колонтитул"/>
    <w:basedOn w:val="686"/>
    <w:next w:val="706"/>
    <w:link w:val="686"/>
    <w:pPr>
      <w:tabs>
        <w:tab w:val="center" w:pos="4677" w:leader="none"/>
        <w:tab w:val="right" w:pos="9355" w:leader="none"/>
      </w:tabs>
    </w:pPr>
  </w:style>
  <w:style w:type="paragraph" w:styleId="707">
    <w:name w:val="Содержимое врезки"/>
    <w:basedOn w:val="696"/>
    <w:next w:val="707"/>
    <w:link w:val="686"/>
  </w:style>
  <w:style w:type="paragraph" w:styleId="708">
    <w:name w:val="Верхний колонтитул"/>
    <w:basedOn w:val="686"/>
    <w:next w:val="708"/>
    <w:link w:val="686"/>
    <w:pPr>
      <w:tabs>
        <w:tab w:val="center" w:pos="4819" w:leader="none"/>
        <w:tab w:val="right" w:pos="9638" w:leader="none"/>
      </w:tabs>
      <w:suppressLineNumbers/>
    </w:pPr>
  </w:style>
  <w:style w:type="paragraph" w:styleId="709">
    <w:name w:val="Основной текст 2"/>
    <w:basedOn w:val="686"/>
    <w:next w:val="709"/>
    <w:link w:val="686"/>
    <w:pPr>
      <w:spacing w:after="120" w:line="480" w:lineRule="auto"/>
    </w:pPr>
  </w:style>
  <w:style w:type="character" w:styleId="710">
    <w:name w:val="Гиперссылка"/>
    <w:next w:val="710"/>
    <w:link w:val="686"/>
    <w:rPr>
      <w:color w:val="0000FF"/>
      <w:u w:val="single"/>
    </w:rPr>
  </w:style>
  <w:style w:type="paragraph" w:styleId="711">
    <w:name w:val="Без интервала"/>
    <w:next w:val="711"/>
    <w:link w:val="686"/>
    <w:rPr>
      <w:sz w:val="24"/>
      <w:szCs w:val="24"/>
      <w:lang w:val="ru-RU" w:bidi="ar-SA" w:eastAsia="zh-CN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2023-01-25T07:06:43Z</dcterms:modified>
</cp:coreProperties>
</file>