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spacing w:line="30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Приложение 1</w:t>
      </w:r>
      <w:r/>
    </w:p>
    <w:p>
      <w:pPr>
        <w:ind w:left="5245"/>
        <w:spacing w:line="30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к постановлению</w:t>
      </w:r>
      <w:r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администрации города Ставрополя</w:t>
      </w:r>
      <w:r/>
    </w:p>
    <w:p>
      <w:pPr>
        <w:ind w:left="5245"/>
        <w:spacing w:line="30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от    </w:t>
      </w:r>
      <w:r>
        <w:rPr>
          <w:rFonts w:cs="Times New Roman"/>
          <w:color w:val="FFFFFF" w:themeColor="background1"/>
          <w:shd w:val="clear" w:color="auto" w:fill="ffffff"/>
        </w:rPr>
        <w:t xml:space="preserve">дата</w:t>
      </w:r>
      <w:r>
        <w:rPr>
          <w:rFonts w:cs="Times New Roman"/>
          <w:shd w:val="clear" w:color="auto" w:fill="ffffff"/>
        </w:rPr>
        <w:t xml:space="preserve">     </w:t>
      </w:r>
      <w:r>
        <w:rPr>
          <w:rFonts w:cs="Times New Roman"/>
          <w:shd w:val="clear" w:color="auto" w:fill="ffffff"/>
        </w:rPr>
        <w:t xml:space="preserve">            </w:t>
      </w:r>
      <w:r>
        <w:rPr>
          <w:rFonts w:cs="Times New Roman"/>
          <w:shd w:val="clear" w:color="auto" w:fill="ffffff"/>
        </w:rPr>
        <w:t xml:space="preserve">№  </w:t>
      </w:r>
      <w:r>
        <w:rPr>
          <w:rFonts w:cs="Times New Roman"/>
          <w:color w:val="FFFFFF" w:themeColor="background1"/>
          <w:shd w:val="clear" w:color="auto" w:fill="ffffff"/>
        </w:rPr>
        <w:t xml:space="preserve">номер</w:t>
      </w:r>
      <w:r>
        <w:rPr>
          <w:rFonts w:cs="Times New Roman"/>
          <w:shd w:val="clear" w:color="auto" w:fill="ffffff"/>
        </w:rPr>
        <w:t xml:space="preserve">   </w:t>
      </w:r>
      <w:r/>
    </w:p>
    <w:p>
      <w:pPr>
        <w:jc w:val="righ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</w:r>
      <w:r/>
    </w:p>
    <w:p>
      <w:pPr>
        <w:jc w:val="righ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</w:r>
      <w:r/>
    </w:p>
    <w:p>
      <w:pPr>
        <w:ind w:left="993" w:right="849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ПОРЯДОК</w:t>
      </w:r>
      <w:r>
        <w:rPr>
          <w:rFonts w:cs="Times New Roman"/>
          <w:shd w:val="clear" w:color="auto" w:fill="ffffff"/>
        </w:rPr>
      </w:r>
      <w:r/>
    </w:p>
    <w:p>
      <w:pPr>
        <w:ind w:left="142" w:right="283" w:firstLine="0"/>
        <w:jc w:val="center"/>
        <w:rPr>
          <w:rFonts w:cs="Times New Roman"/>
          <w:highlight w:val="none"/>
        </w:rPr>
      </w:pPr>
      <w:r>
        <w:rPr>
          <w:rFonts w:cs="Times New Roman"/>
          <w:shd w:val="clear" w:color="auto" w:fill="ffffff"/>
        </w:rPr>
        <w:t xml:space="preserve">взаимодействия отраслевых (функциональных) органов администрации города Ставрополя при разработке </w:t>
      </w:r>
      <w:r>
        <w:rPr>
          <w:rFonts w:cs="Times New Roman"/>
          <w:shd w:val="clear" w:color="auto" w:fill="ffffff"/>
        </w:rPr>
        <w:t xml:space="preserve">проекта муниципально-частного партнерства, рассмотрении предложения о реализа</w:t>
      </w:r>
      <w:r>
        <w:rPr>
          <w:rFonts w:cs="Times New Roman"/>
          <w:shd w:val="clear" w:color="auto" w:fill="ffffff"/>
        </w:rPr>
        <w:t xml:space="preserve">ции проекта муниципально-частного партнерства, принятии решения о реализации проекта муниципально-частного партнерства, осуществлении контроля исполнения и мониторинга реализации соглашений о муниципально-частном партнерстве на территории города Ставрополя</w:t>
      </w:r>
      <w:r>
        <w:rPr>
          <w:rFonts w:cs="Times New Roman"/>
          <w:shd w:val="clear" w:color="auto" w:fill="ffffff"/>
        </w:rPr>
      </w:r>
      <w:r/>
    </w:p>
    <w:p>
      <w:pPr>
        <w:rPr>
          <w:rFonts w:cs="Times New Roman"/>
        </w:rPr>
      </w:pPr>
      <w:r>
        <w:rPr>
          <w:rFonts w:cs="Times New Roman"/>
        </w:rPr>
      </w:r>
      <w:r/>
    </w:p>
    <w:p>
      <w:pPr>
        <w:jc w:val="center"/>
        <w:rPr>
          <w:rFonts w:cs="Times New Roman"/>
          <w:highlight w:val="none"/>
        </w:rPr>
      </w:pPr>
      <w:r>
        <w:rPr>
          <w:rFonts w:cs="Times New Roman"/>
        </w:rPr>
        <w:t xml:space="preserve">1. Общие положения</w:t>
      </w:r>
      <w:r/>
    </w:p>
    <w:p>
      <w:pPr>
        <w:jc w:val="center"/>
        <w:rPr>
          <w:rFonts w:cs="Times New Roman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</w:t>
      </w:r>
      <w:r>
        <w:rPr>
          <w:rFonts w:cs="Times New Roman"/>
        </w:rPr>
        <w:t xml:space="preserve">.1. Порядок взаимодействия отраслевых (функциональных) органов администрации города Ставрополя </w:t>
      </w:r>
      <w:r>
        <w:rPr>
          <w:rFonts w:cs="Times New Roman"/>
          <w:shd w:val="clear" w:color="auto" w:fill="ffffff"/>
        </w:rPr>
        <w:t xml:space="preserve">при разработке </w:t>
      </w:r>
      <w:r>
        <w:rPr>
          <w:rFonts w:cs="Times New Roman"/>
          <w:shd w:val="clear" w:color="auto" w:fill="ffffff"/>
        </w:rPr>
        <w:t xml:space="preserve">проекта муниципально-частного партнерства, рассмотрении предложения о реализа</w:t>
      </w:r>
      <w:r>
        <w:rPr>
          <w:rFonts w:cs="Times New Roman"/>
          <w:shd w:val="clear" w:color="auto" w:fill="ffffff"/>
        </w:rPr>
        <w:t xml:space="preserve">ции проекта муниципально-частного партнерства</w:t>
      </w:r>
      <w:r>
        <w:rPr>
          <w:rFonts w:cs="Times New Roman"/>
          <w:shd w:val="clear" w:color="auto" w:fill="ffffff"/>
        </w:rPr>
        <w:t xml:space="preserve">, принятии решения о реализации проекта муниципально-частного партнерства, осуществлении контроля исполнения и мониторинга реализации соглашений о муниципально-частном партнерстве на территории города Ставрополя (далее – Порядок) разработан в соответствии </w:t>
      </w:r>
      <w:r>
        <w:rPr>
          <w:rFonts w:cs="Times New Roman"/>
        </w:rPr>
        <w:t xml:space="preserve">с Федеральными законами от 13 июля 2015 г. № 224-ФЗ </w:t>
        <w:br/>
        <w:t xml:space="preserve">«О государственно-частном </w:t>
      </w:r>
      <w:r>
        <w:rPr>
          <w:rFonts w:cs="Times New Roman"/>
        </w:rPr>
        <w:t xml:space="preserve">партнерстве, муниципально-частном партнерстве в Российской Федерации и внесении изменений в отдельные законодательные акты Российской Федерации», от 06 октября 2003 г. </w:t>
        <w:br/>
        <w:t xml:space="preserve">№ 131-ФЗ «Об общих принципах организации местного самоуправления </w:t>
        <w:br/>
        <w:t xml:space="preserve">в Российс</w:t>
      </w:r>
      <w:r>
        <w:rPr>
          <w:rFonts w:cs="Times New Roman"/>
        </w:rPr>
        <w:t xml:space="preserve">кой Федерации», постановлением Правительства Российской Федерации от 30 декабря 2015 г. № 1490 «Об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партнерстве», </w:t>
      </w:r>
      <w:r>
        <w:rPr>
          <w:rFonts w:cs="Times New Roman"/>
        </w:rPr>
        <w:t xml:space="preserve">приказом Министерства экон</w:t>
      </w:r>
      <w:r>
        <w:rPr>
          <w:rFonts w:cs="Times New Roman"/>
        </w:rPr>
        <w:t xml:space="preserve">о</w:t>
      </w:r>
      <w:r>
        <w:rPr>
          <w:rFonts w:cs="Times New Roman"/>
        </w:rPr>
        <w:t xml:space="preserve">мического развития Российской Федерации </w:t>
        <w:br/>
        <w:t xml:space="preserve">от 02.02.2021 № 40 «Об утверждении Порядка мониторинга реализации соглашений о государственно-частном партнерстве, соглашений </w:t>
        <w:br/>
        <w:t xml:space="preserve">о муниципально-частном партнерстве» в целях определения полномочий </w:t>
        <w:br/>
        <w:t xml:space="preserve">и координации деятел</w:t>
      </w:r>
      <w:r>
        <w:rPr>
          <w:rFonts w:cs="Times New Roman"/>
        </w:rPr>
        <w:t xml:space="preserve">ьности в сфере муниципально-частного партнерства </w:t>
      </w:r>
      <w:r>
        <w:rPr>
          <w:rFonts w:cs="Times New Roman"/>
        </w:rPr>
        <w:t xml:space="preserve">отраслевых (функциональных) органов</w:t>
      </w:r>
      <w:r>
        <w:rPr>
          <w:rFonts w:cs="Times New Roman"/>
        </w:rPr>
        <w:t xml:space="preserve"> местного самоуправления города Ставрополя, регулирует вопросы взаимодействия отраслевых (функциональных) органов администрации города Ставрополя </w:t>
        <w:br/>
        <w:t xml:space="preserve">при разработке муниципально-частного партнерства, расс</w:t>
      </w:r>
      <w:r>
        <w:rPr>
          <w:rFonts w:cs="Times New Roman"/>
        </w:rPr>
        <w:t xml:space="preserve">м</w:t>
      </w:r>
      <w:r>
        <w:rPr>
          <w:rFonts w:cs="Times New Roman"/>
        </w:rPr>
        <w:t xml:space="preserve">отрении предложения о реализации проекта муниципально-частного партнерства, принятии решения о реализации муниципально-частного партнерства, осуществлении контроля и мониторинга соглашений о муниципально-частном партнерстве на территории города Ставрополя</w:t>
      </w:r>
      <w:r>
        <w:rPr>
          <w:rFonts w:cs="Times New Roman"/>
        </w:rPr>
        <w:t xml:space="preserve">.</w:t>
      </w:r>
      <w:r/>
    </w:p>
    <w:p>
      <w:pPr>
        <w:ind w:firstLine="539"/>
        <w:jc w:val="both"/>
        <w:rPr>
          <w:rFonts w:cs="Times New Roman"/>
          <w:szCs w:val="20"/>
          <w:highlight w:val="none"/>
        </w:rPr>
      </w:pPr>
      <w:r>
        <w:rPr>
          <w:rFonts w:cs="Times New Roman"/>
          <w:szCs w:val="20"/>
        </w:rPr>
        <w:t xml:space="preserve">1.2.</w:t>
      </w:r>
      <w:r>
        <w:rPr>
          <w:rFonts w:cs="Times New Roman"/>
          <w:szCs w:val="20"/>
        </w:rPr>
        <w:t xml:space="preserve"> Отраслевые (функциональные) органы администрации города Ставрополя, </w:t>
      </w:r>
      <w:r>
        <w:rPr>
          <w:rFonts w:cs="Times New Roman"/>
          <w:szCs w:val="20"/>
        </w:rPr>
        <w:t xml:space="preserve">в ведении которого находятся вопросы функционирования, создания (реконструкции) объектов муниципальной собственности по их отраслевому (функциональному) назначению</w:t>
      </w:r>
      <w:r>
        <w:rPr>
          <w:rFonts w:cs="Times New Roman"/>
          <w:szCs w:val="20"/>
        </w:rPr>
        <w:t xml:space="preserve"> (далее – Отраслевой (функциональный) орган), осуществляют следующие функции публичного партнера:</w:t>
      </w:r>
      <w:r/>
    </w:p>
    <w:p>
      <w:pPr>
        <w:ind w:firstLine="539"/>
        <w:jc w:val="both"/>
        <w:rPr>
          <w:highlight w:val="none"/>
        </w:rPr>
      </w:pPr>
      <w:r>
        <w:rPr>
          <w:rFonts w:cs="Times New Roman"/>
          <w:szCs w:val="20"/>
          <w:highlight w:val="none"/>
        </w:rPr>
      </w:r>
      <w:r>
        <w:t xml:space="preserve">1) разработку предложения о реализации проекта муниципально-частного партнерства;</w:t>
      </w:r>
      <w:r>
        <w:rPr>
          <w:rFonts w:cs="Times New Roman"/>
          <w:szCs w:val="20"/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2) проведение </w:t>
      </w:r>
      <w:r>
        <w:t xml:space="preserve">с лицом, которое в соответствии с Федеральным законом № 224-ФЗ может быть частным партнером, обеспечившим разработку предложения о реализации проекта муниципально-частного партнерства (далее – МЧП), предварительных переговоров, связанных с разработкой пред</w:t>
      </w:r>
      <w:r>
        <w:t xml:space="preserve">ложения о реализации проекта;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3</w:t>
      </w:r>
      <w:r>
        <w:t xml:space="preserve">) подготовку решения главы города Ставрополя о направлении предложения о реализации проекта на рассмотрение в комитет экономического развития и торговли администрации города Ставрополя, уполномоченный на проведение оценки эффективности проекта МЧП </w:t>
        <w:br/>
        <w:t xml:space="preserve">и опред</w:t>
      </w:r>
      <w:r>
        <w:t xml:space="preserve">еление его сравнительного преимущества (</w:t>
      </w:r>
      <w:r>
        <w:rPr>
          <w:rFonts w:cs="Times New Roman"/>
        </w:rPr>
        <w:t xml:space="preserve">далее - </w:t>
      </w:r>
      <w:r>
        <w:rPr>
          <w:rFonts w:cs="Times New Roman"/>
        </w:rPr>
        <w:t xml:space="preserve">КЭРиТ </w:t>
        <w:br/>
        <w:t xml:space="preserve">города Ставрополя</w:t>
      </w:r>
      <w:r>
        <w:t xml:space="preserve">) в целях оценки эффективности и определения его сравнительного преимущества или о невозможности реализации проекта - путем разработки проекта постановления администрац</w:t>
      </w:r>
      <w:r>
        <w:t xml:space="preserve">ии города Ставрополя;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4</w:t>
      </w:r>
      <w:r>
        <w:t xml:space="preserve">) направление предложения о реализации проекта, а также копии протоколов предварительных переговоров и (или) переговоров (в случае если эти переговоры были проведены) на рассмотрение в КЭРиТ </w:t>
        <w:br/>
        <w:t xml:space="preserve">города Ставрополя в целях оценки эффективности </w:t>
      </w:r>
      <w:r>
        <w:t xml:space="preserve">и определения его сравнительного преимущества;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5)</w:t>
      </w:r>
      <w:r>
        <w:t xml:space="preserve"> направление решения, а также оригиналов протоколов предварительных переговоров и (или) переговоров (в случае, если эти переговоры были проведены) частному партнеру (инициатору проекта) </w:t>
        <w:br/>
        <w:t xml:space="preserve">и размещение данного решения, предложения о реализации проекта </w:t>
        <w:br/>
        <w:t xml:space="preserve">и ука</w:t>
      </w:r>
      <w:r>
        <w:t xml:space="preserve">занных протоколов переговоров на официальном сайте администрации города Ставрополя в информационно-телекоммуникационной </w:t>
        <w:br/>
        <w:t xml:space="preserve">сети «Интернет»;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6) разработку и направление главе города Ставрополя проекта постановления администрации города Ставрополя о реализации проекта муниципально-частного партнерства, определяющего содержание конкурсной доку</w:t>
      </w:r>
      <w:r>
        <w:t xml:space="preserve">ментации, согласованной с уполномоченным органом, порядка размещения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</w:t>
      </w:r>
      <w:r>
        <w:t xml:space="preserve">ном Правительством Российской Федерации, форму подачи заявок на участие в конкурсе, порядка предварительного отбора участников конкурса, оценки конкурсного предложения и размещения результатов конкурса;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7) направление в </w:t>
      </w:r>
      <w:r>
        <w:t xml:space="preserve">уполномочен</w:t>
      </w:r>
      <w:r>
        <w:t xml:space="preserve">ный орган в соответствии постановлением главы города Ставрополя от  8 февраля 2016 г. № 4-п «Об определении уполномоченного органа на осуществление полномочий, предусмотренных частью 2 статьи 18 Федерального закона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(далее – Уполномоченный орган)</w:t>
      </w:r>
      <w:r>
        <w:t xml:space="preserve"> для согласования конкурсной документации для проведения конкурса на право заключения соглашения </w:t>
        <w:br/>
        <w:t xml:space="preserve">о муниципально-частном партнерстве;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8) организацию и проведение конкурса на право заключения соглашения о муниципально-частном партнерстве;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9</w:t>
      </w:r>
      <w:r>
        <w:t xml:space="preserve">)</w:t>
      </w:r>
      <w:r>
        <w:t xml:space="preserve"> направление победителю конкурса экземпляра протокола, проекта соглашения, включающего в себя условия соглашения, определенные решением о реализации проекта, конкурсной документацией </w:t>
        <w:br/>
        <w:t xml:space="preserve">и представленным победителем конкурса конкурсным предложением, </w:t>
        <w:br/>
        <w:t xml:space="preserve">а также </w:t>
      </w:r>
      <w:r>
        <w:t xml:space="preserve">иные предусмотренные Федеральным законом № 224-ФЗ, другими федеральными законами условия;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1</w:t>
      </w:r>
      <w:r>
        <w:t xml:space="preserve">0) проведение переговоров в форме совместных совещаний </w:t>
        <w:br/>
        <w:t xml:space="preserve">с победителем конкурса или с иным лицом, в отношении которого принято решение о заключении соглашения в соответствии с Федеральным законом № 224-ФЗ, в целях обсуждения условий соглашения и их возможно</w:t>
      </w:r>
      <w:r>
        <w:t xml:space="preserve">го изменения по результатам переговоров;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11) направление соглашения и прилагаемого протокола переговоров </w:t>
        <w:br/>
        <w:t xml:space="preserve">на согласование в Уполномоченный орган на предмет соответствия соглашения конкурсной документации;</w:t>
      </w:r>
      <w:r>
        <w:rPr>
          <w:highlight w:val="none"/>
        </w:rPr>
      </w:r>
      <w:r/>
    </w:p>
    <w:p>
      <w:pPr>
        <w:ind w:firstLine="539"/>
        <w:jc w:val="both"/>
        <w:rPr>
          <w:highlight w:val="none"/>
        </w:rPr>
      </w:pPr>
      <w:r>
        <w:rPr>
          <w:highlight w:val="none"/>
        </w:rPr>
      </w:r>
      <w:r>
        <w:t xml:space="preserve">12) направление копии подписанного соглашения в Уполномоченный орган для включения его в реестр заключенных соглашений о МЧП;</w:t>
      </w:r>
      <w:r>
        <w:rPr>
          <w:highlight w:val="none"/>
        </w:rPr>
      </w:r>
      <w:r/>
    </w:p>
    <w:p>
      <w:pPr>
        <w:ind w:firstLine="539"/>
        <w:jc w:val="both"/>
        <w:rPr>
          <w:rFonts w:cs="Times New Roman"/>
        </w:rPr>
      </w:pPr>
      <w:r>
        <w:rPr>
          <w:highlight w:val="none"/>
        </w:rPr>
      </w:r>
      <w:r>
        <w:t xml:space="preserve">13) контроль исполнения соглашения.</w:t>
      </w:r>
      <w:r>
        <w:rPr>
          <w:highlight w:val="none"/>
        </w:rPr>
      </w:r>
      <w:r/>
    </w:p>
    <w:p>
      <w:pPr>
        <w:ind w:firstLine="5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1.3. </w:t>
      </w:r>
      <w:r>
        <w:rPr>
          <w:rFonts w:cs="Times New Roman"/>
          <w:szCs w:val="20"/>
        </w:rPr>
        <w:t xml:space="preserve">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>
        <w:rPr>
          <w:rFonts w:cs="Times New Roman"/>
        </w:rPr>
        <w:t xml:space="preserve">Федеральным законом</w:t>
      </w:r>
      <w:r>
        <w:rPr>
          <w:rFonts w:cs="Times New Roman"/>
          <w:szCs w:val="20"/>
        </w:rPr>
        <w:t xml:space="preserve">.</w:t>
      </w:r>
      <w:r/>
    </w:p>
    <w:p>
      <w:pPr>
        <w:ind w:left="0" w:righ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  <w:szCs w:val="20"/>
        </w:rPr>
        <w:t xml:space="preserve">1.4. Публичный партнер – город Ставрополь, от имени которого выступает глава города Ставрополя</w:t>
      </w:r>
      <w:r>
        <w:rPr>
          <w:rFonts w:cs="Times New Roman"/>
          <w:szCs w:val="20"/>
        </w:rPr>
        <w:t xml:space="preserve"> (далее – Публичный партнер)</w:t>
      </w:r>
      <w:r>
        <w:t xml:space="preserve">.</w:t>
      </w:r>
      <w:r>
        <w:rPr>
          <w:rFonts w:ascii="Arial" w:hAnsi="Arial" w:cs="Arial"/>
          <w:sz w:val="20"/>
          <w:szCs w:val="20"/>
        </w:rPr>
      </w:r>
      <w:r/>
    </w:p>
    <w:p>
      <w:pPr>
        <w:ind w:firstLine="540"/>
        <w:jc w:val="both"/>
        <w:rPr>
          <w:rFonts w:cs="Times New Roman"/>
        </w:rPr>
      </w:pPr>
      <w:r>
        <w:rPr>
          <w:rFonts w:cs="Times New Roman"/>
          <w:szCs w:val="20"/>
        </w:rPr>
        <w:t xml:space="preserve">1.5. </w:t>
      </w:r>
      <w:r>
        <w:rPr>
          <w:rFonts w:cs="Times New Roman"/>
          <w:szCs w:val="20"/>
        </w:rPr>
        <w:t xml:space="preserve">Частный партнер - российское юридическое лицо, с которым </w:t>
        <w:br/>
      </w:r>
      <w:r>
        <w:rPr>
          <w:rFonts w:cs="Times New Roman"/>
          <w:szCs w:val="20"/>
        </w:rPr>
        <w:t xml:space="preserve">в соответствии </w:t>
      </w:r>
      <w:r>
        <w:rPr>
          <w:rFonts w:cs="Times New Roman"/>
          <w:szCs w:val="20"/>
        </w:rPr>
        <w:t xml:space="preserve">с </w:t>
      </w:r>
      <w:r>
        <w:rPr>
          <w:rFonts w:cs="Times New Roman"/>
        </w:rPr>
        <w:t xml:space="preserve">Федеральным законом</w:t>
      </w:r>
      <w:r>
        <w:rPr>
          <w:rFonts w:cs="Times New Roman"/>
          <w:szCs w:val="20"/>
        </w:rPr>
        <w:t xml:space="preserve"> № 224-ФЗ </w:t>
      </w:r>
      <w:r>
        <w:rPr>
          <w:rFonts w:cs="Times New Roman"/>
          <w:szCs w:val="20"/>
        </w:rPr>
        <w:t xml:space="preserve">заключено соглашение</w:t>
      </w:r>
      <w:r>
        <w:rPr>
          <w:rFonts w:cs="Times New Roman"/>
          <w:szCs w:val="20"/>
        </w:rPr>
        <w:t xml:space="preserve">;</w:t>
      </w:r>
      <w:r>
        <w:rPr>
          <w:rFonts w:cs="Times New Roman"/>
          <w:szCs w:val="20"/>
        </w:rPr>
      </w:r>
      <w:r/>
    </w:p>
    <w:p>
      <w:pPr>
        <w:ind w:firstLine="540"/>
        <w:jc w:val="both"/>
        <w:rPr>
          <w:rFonts w:cs="Times New Roman"/>
        </w:rPr>
      </w:pPr>
      <w:r>
        <w:rPr>
          <w:highlight w:val="none"/>
        </w:rPr>
        <w:t xml:space="preserve">1.6. В Порядке используются понятия, установленные Федеральным законом № 224-ФЗ.</w:t>
      </w:r>
      <w:r>
        <w:rPr>
          <w:rFonts w:cs="Times New Roman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jc w:val="center"/>
        <w:rPr>
          <w:rFonts w:cs="Times New Roman"/>
          <w:highlight w:val="none"/>
        </w:rPr>
      </w:pPr>
      <w:r>
        <w:rPr>
          <w:rFonts w:cs="Times New Roman"/>
        </w:rPr>
        <w:t xml:space="preserve">2. Разработка и рассмотрение предложения о реализации</w:t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  <w:t xml:space="preserve">проекта муниципально-частного партнерства</w:t>
      </w:r>
      <w:r/>
    </w:p>
    <w:p>
      <w:pPr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rFonts w:ascii="Arial" w:hAnsi="Arial" w:cs="Arial" w:eastAsia="Arial"/>
          <w:sz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sz w:val="28"/>
        </w:rPr>
        <w:t xml:space="preserve">2.1. В случае, если инициатором проекта выступает публичный партнер, 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координацию деятельности 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 отраслевых (функциональных) органов </w:t>
        <w:br/>
        <w:t xml:space="preserve">при разработке 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предложений о реализации проектов муниципально-частного партнерства, 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проведение 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оценки 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предложений о реализации проектов муниципально-частного</w:t>
      </w:r>
      <w:r>
        <w:rPr>
          <w:rFonts w:ascii="Times New Roman" w:hAnsi="Times New Roman" w:cs="Times New Roman" w:eastAsia="Times New Roman"/>
          <w:b w:val="0"/>
          <w:color w:val="1A1A1A"/>
          <w:sz w:val="28"/>
        </w:rPr>
        <w:t xml:space="preserve"> партнерства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осуществляет комиссия по вопросам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реализации проектов муниципально-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частного партнерства в составе согласно</w:t>
      </w:r>
      <w:r>
        <w:rPr>
          <w:rFonts w:ascii="Times New Roman" w:hAnsi="Times New Roman" w:cs="Times New Roman" w:eastAsia="Times New Roman"/>
          <w:sz w:val="28"/>
        </w:rPr>
        <w:t xml:space="preserve"> постановлению администрации города Ставрополя от 10.12.2018 № 2509 </w:t>
        <w:br/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«О некоторых мерах по реализации Федерального закона от 13 июля 2015 г. 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№ 224-ФЗ «О государственно-частном партнерстве, муниципально-частном 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партнерстве в Российской Федерации и внесении </w:t>
      </w:r>
      <w:r>
        <w:rPr>
          <w:rFonts w:ascii="Times New Roman" w:hAnsi="Times New Roman" w:cs="Times New Roman" w:eastAsia="Times New Roman"/>
          <w:color w:val="1A1A1A"/>
          <w:sz w:val="28"/>
        </w:rPr>
        <w:t xml:space="preserve">законодательные акты Российской Федерации».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t xml:space="preserve">2.2. Предложение о реализации проекта должно соответствовать форме и требованиям, утвержденным постановлением Правительства Российской Федерации от 19 декабря 2015 г. № 1386 «Об утверждении формы предложения о реализации проекта государственно-частного пар</w:t>
      </w:r>
      <w:r>
        <w:t xml:space="preserve">т</w:t>
      </w:r>
      <w:r>
        <w:t xml:space="preserve">нерства или проекта муниципально-частного партнерства, а также требований </w:t>
        <w:br/>
        <w:t xml:space="preserve">к сведениям, содержащимся в предложении о реализации проекта государственно-частного партнерства или проекта муниципально-частного партнерства» (далее - Постановление Правительства </w:t>
      </w:r>
      <w:r>
        <w:t xml:space="preserve">Российской Федерации от 19 декабря 2015 г. № 1386).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t xml:space="preserve">2</w:t>
      </w:r>
      <w:r>
        <w:t xml:space="preserve">.3. При разработке предложения о реализации проекта МЧП применяется Методика оценки эффективности проекта государственно-частного партнерства, проекта муниципально-частного партнерства </w:t>
        <w:br/>
        <w:t xml:space="preserve">и определения их сравнительного преимущества, утвержденная приказом Ми</w:t>
      </w:r>
      <w:r>
        <w:t xml:space="preserve">нистерства экономического развития Российской Федерации </w:t>
        <w:br/>
        <w:t xml:space="preserve">от 30 ноября 2015 г. № 894 (далее - Методика).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</w:t>
      </w:r>
      <w:r>
        <w:t xml:space="preserve">.4. Лицо, которое в соответствии с Федеральным законом № 224-ФЗ может быть частным партнером (далее - Частный партнер (инициатор проекта), вправе обеспечить разработку предложения о реализации проекта </w:t>
        <w:br/>
        <w:t xml:space="preserve">в соответствии с частями 3 и 4 статьи 8 Федерального з</w:t>
      </w:r>
      <w:r>
        <w:t xml:space="preserve">ак</w:t>
      </w:r>
      <w:r>
        <w:t xml:space="preserve">она № 224-ФЗ </w:t>
        <w:br/>
        <w:t xml:space="preserve">и направить предложение о реализации проекта публичному партнеру. </w:t>
        <w:br/>
        <w:t xml:space="preserve">В случае, если инициатором проекта выступает Частный партнер (инициатор проекта), до направления указанного предложения публичному партнеру между Частным партнером (инициаторо</w:t>
      </w:r>
      <w:r>
        <w:t xml:space="preserve">м </w:t>
      </w:r>
      <w:r>
        <w:t xml:space="preserve">проекта) и публичным партнером допускается проведение предварительных переговоров, связанных </w:t>
        <w:br/>
        <w:t xml:space="preserve">с разработкой предложения о реализации проекта. Публичный партнер организует проведение предварительных переговоров</w:t>
      </w:r>
      <w:r>
        <w:t xml:space="preserve">, </w:t>
      </w:r>
      <w:r>
        <w:t xml:space="preserve">связанных </w:t>
        <w:br/>
        <w:t xml:space="preserve">с разработкой предложения о реализации проекта, с Частным партнером (инициатором проекта), в соответствии с порядком, установленным Приказом Минэкономразвития России от 20 ноября 2015 г. № 864 </w:t>
        <w:br/>
        <w:t xml:space="preserve">«Об утверждении порядка проведения предварительных </w:t>
      </w:r>
      <w:r>
        <w:t xml:space="preserve">п</w:t>
      </w:r>
      <w:r>
        <w:t xml:space="preserve">ер</w:t>
      </w:r>
      <w:r>
        <w:t xml:space="preserve">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 (далее - Порядок проведения переговоров, связанных с разра</w:t>
      </w:r>
      <w:r>
        <w:t xml:space="preserve">боткой предложения о реализации </w:t>
        <w:br/>
        <w:t xml:space="preserve">проекта МЧП).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2.5. Отраслевой (функциональный) орган вправе привлекать к участию </w:t>
        <w:br/>
        <w:t xml:space="preserve">в предварительных переговорах отраслевые (функциональные) органы администрации города Ставрополя, консультантов и экспертов.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2.6. Рассмотрение публичным партнером предложения о реализации проекта, поступившего от Частного партнера (инициатора проекта), проводится в срок, не превышающий 90 дней со дня поступления предложения, в соответствии с правилами рассмотрения публичным парт</w:t>
      </w:r>
      <w:r>
        <w:t xml:space="preserve">н</w:t>
      </w:r>
      <w:r>
        <w:t xml:space="preserve">е</w:t>
      </w:r>
      <w:r>
        <w:t xml:space="preserve">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</w:t>
        <w:br/>
        <w:t xml:space="preserve">от 19 декабря 2015 г. № 1388 «Об утверждении правил рассмотрения публич</w:t>
      </w:r>
      <w:r>
        <w:t xml:space="preserve">ным партнером предложения о реализации проекта государственно-частного партнерства или проекта муниципально-частного партнерства».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</w:t>
      </w:r>
      <w:r>
        <w:t xml:space="preserve">.7. В рамках рассмотрения предложения о реализации проекта МЧП, </w:t>
        <w:br/>
        <w:t xml:space="preserve">в том числе в случае, если предложения о реализации проекта были разработаны Частным партнером (инициатором проекта), Отраслевой (функциональный) орган в течение 3 рабочих дней со дня разрабо</w:t>
      </w:r>
      <w:r>
        <w:t xml:space="preserve">тки (поступления) предложения, направляет для согласования предложение </w:t>
        <w:br/>
        <w:t xml:space="preserve">о реализации проекта в: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1) комитет градостроительства администрации города Ставрополя </w:t>
        <w:br/>
        <w:t xml:space="preserve">для получения заключения о возможности эксплуатации, </w:t>
        <w:br/>
        <w:t xml:space="preserve">и (или) технического использования объекта соглашения, указанного </w:t>
        <w:br/>
        <w:t xml:space="preserve">в предложении о реализации проекта, о наличии потребнос</w:t>
      </w:r>
      <w:r>
        <w:t xml:space="preserve">ти </w:t>
        <w:br/>
        <w:t xml:space="preserve">в реконструкции либо создании объекта;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2) КУМИ города Ставрополя - для получения заключения </w:t>
        <w:br/>
        <w:t xml:space="preserve">о возможности передачи частному партнеру объекта, указанного </w:t>
        <w:br/>
        <w:t xml:space="preserve">в предложении о реализации проекта, в соответствии с частями 1, </w:t>
      </w:r>
      <w:r>
        <w:t xml:space="preserve">2, 3, 4, 5 статьи 7 Федерального закона № 224-ФЗ;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3) комитет финансов и бюджета администрации города Ставрополя </w:t>
        <w:br/>
        <w:t xml:space="preserve">для получения заключения о наличии средств или финансовой возможности на реализацию проекта в соответствии с муниципальными нормативными правовыми актами органов местного сам</w:t>
      </w:r>
      <w:r>
        <w:t xml:space="preserve">оуправления города Ставрополя </w:t>
        <w:br/>
        <w:t xml:space="preserve">и документами стратегического планирования города Ставрополя (муниципальными программами) с учетом сроков реализации такого проекта (в случае если для реализации проекта требуется выделение средств</w:t>
      </w:r>
      <w:r>
        <w:t xml:space="preserve"> </w:t>
        <w:br/>
        <w:t xml:space="preserve">из бюджета города Ставрополя).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Согласование и направление в Отраслевой (функциональный) орган вышеуказанных заключений осуществляется в срок, не превышающий </w:t>
        <w:br/>
        <w:t xml:space="preserve">30 дней со дня получения запроса.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2.</w:t>
      </w:r>
      <w:r>
        <w:t xml:space="preserve">8. При рассмотрении публичным партнером предложения </w:t>
        <w:br/>
        <w:t xml:space="preserve">о реализации проекта Отраслевой (функциональный) орган вправе запросить у Частного партнера (инициатора проекта) дополнительные материалы </w:t>
        <w:br/>
        <w:t xml:space="preserve">и документы, проводить переговоры, в том числе в форме совместны</w:t>
      </w:r>
      <w:r>
        <w:t xml:space="preserve">х</w:t>
      </w:r>
      <w:r>
        <w:t xml:space="preserve"> </w:t>
      </w:r>
      <w:r>
        <w:t xml:space="preserve">совещаний. Указанные переговоры должны быть проведены в пределах срока, установленного частью 5 статьи 8 Федерального закона № 224-ФЗ, </w:t>
        <w:br/>
        <w:t xml:space="preserve">и в порядке, установленном Приказом Минэкономразвития России </w:t>
        <w:br/>
        <w:t xml:space="preserve">от 20 ноября 2015 г. № 863 «Об утверждении порядка проведе</w:t>
      </w:r>
      <w:r>
        <w:t xml:space="preserve">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2.9. По результатам рассмотрения предложения о реализации проекта Отраслевой (функциональный) орган, в течение 20 дней с даты получения заключений, готовит итоговое заключение и направляет его главе города Ставрополя для принятия</w:t>
      </w:r>
      <w:r>
        <w:t xml:space="preserve"> одного из следующих решений: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  <w:t xml:space="preserve">2.9.1. О направлении предложения о реализации проекта </w:t>
        <w:br/>
        <w:t xml:space="preserve">на рассмотрение в КЭРиТ города Ставрополя в целях оценки эффективности и определения его сравнительного преимущества.</w:t>
      </w:r>
      <w:r>
        <w:rPr>
          <w:highlight w:val="whit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  <w:t xml:space="preserve">2.9.2. О невозможности реализации проекта. Данное решение </w:t>
        <w:br/>
        <w:t xml:space="preserve">должно быть мотивированным с учетом оснований, указанных </w:t>
        <w:br/>
        <w:t xml:space="preserve">в части 7 статьи 8 Федерального закона № 224-ФЗ.</w:t>
      </w:r>
      <w:r>
        <w:rPr>
          <w:highlight w:val="yellow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2.10. Подготовку решения главы города Ставрополя обеспечивает Отраслевой (функциональный) орган путем разработки проекта постановления администрации города Ставрополя (далее - Решение).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</w:t>
      </w:r>
      <w:r>
        <w:t xml:space="preserve">.11. Отраслевой (функциональный) орган в случае принятия публичным партнером решения в соответствии с подпунктом </w:t>
        <w:br/>
        <w:t xml:space="preserve">2.9.1 настоящего Порядка в срок, не превышающий 10 дней со дня принятия такого решения, в соответствии с частью 8 статьи 8 Федерального закона</w:t>
      </w:r>
      <w:r>
        <w:t xml:space="preserve"> </w:t>
        <w:br/>
        <w:t xml:space="preserve">№ 224-ФЗ, направляет предложение о реализации проекта, а также копии протоколов предварительных переговоров и (или) переговоров (в случае если эти переговоры были проведены) на рассмотрение в КЭРиТ </w:t>
        <w:br/>
        <w:t xml:space="preserve">города Ставрополя в целях оценки эффекти</w:t>
      </w:r>
      <w:r>
        <w:t xml:space="preserve">вности и определения </w:t>
        <w:br/>
        <w:t xml:space="preserve">его сравнительного преимущества.</w:t>
      </w:r>
      <w:r>
        <w:rPr>
          <w:highlight w:val="none"/>
        </w:rPr>
      </w:r>
      <w:r/>
    </w:p>
    <w:p>
      <w:pPr>
        <w:ind w:left="0" w:right="0" w:firstLine="567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sz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t xml:space="preserve">2</w:t>
      </w:r>
      <w:r>
        <w:t xml:space="preserve">.12. В срок, не превышающий 10 дней со дня принятия одного </w:t>
        <w:br/>
        <w:t xml:space="preserve">из решений, указанных в пункте 2.9 настоящего Порядка, Отраслевой (функциональный) орган направляет решение, а также оригиналы протоколов предварительных переговоров и (или) переговоров (в случае,</w:t>
      </w:r>
      <w:r>
        <w:t xml:space="preserve"> если эти переговоры были проведены) Частному партнеру (инициатору проекта) и размещает данное решение, предложение о реализации проекта </w:t>
        <w:br/>
        <w:t xml:space="preserve">и указанные протоколы переговоров на официальном сайте администрации города Ставрополя в информационно-тел</w:t>
      </w:r>
      <w:r>
        <w:t xml:space="preserve">екоммуникационной сети «Интернет».</w:t>
      </w:r>
      <w:r>
        <w:rPr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  <w:outlineLvl w:val="0"/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jc w:val="center"/>
        <w:rPr>
          <w:rFonts w:cs="Times New Roman"/>
        </w:rPr>
      </w:pPr>
      <w:r>
        <w:rPr>
          <w:rFonts w:cs="Times New Roman"/>
        </w:rPr>
      </w:r>
      <w:r>
        <w:t xml:space="preserve">3. Принятие решения о реализации проекта МЧП</w:t>
      </w:r>
      <w:r>
        <w:rPr>
          <w:rFonts w:cs="Times New Roman"/>
        </w:rPr>
      </w:r>
      <w:r/>
    </w:p>
    <w:p>
      <w:pPr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ind w:firstLine="540"/>
        <w:jc w:val="both"/>
        <w:rPr>
          <w:rFonts w:cs="Times New Roman"/>
        </w:rPr>
      </w:pPr>
      <w:r>
        <w:rPr>
          <w:rFonts w:cs="Times New Roman"/>
        </w:rPr>
      </w:r>
      <w:r>
        <w:t xml:space="preserve">3.1. Решение о реализации проекта муниципально-частного партнерства принимается главой города Ставрополя при наличии заключения КЭРиТ города Ставрополя об эффективности проекта и его сравнительном преимуществе </w:t>
      </w:r>
      <w:r>
        <w:t xml:space="preserve">(далее - положительное заключение) в срок, не превышающий 60 дней со дня получения положительного заключения.</w:t>
      </w:r>
      <w:r>
        <w:rPr>
          <w:rFonts w:cs="Times New Roman"/>
        </w:rPr>
      </w:r>
      <w:r/>
    </w:p>
    <w:p>
      <w:pPr>
        <w:ind w:firstLine="540"/>
        <w:jc w:val="both"/>
        <w:rPr>
          <w:rFonts w:cs="Times New Roman"/>
        </w:rPr>
      </w:pPr>
      <w:r>
        <w:rPr>
          <w:rFonts w:cs="Times New Roman"/>
        </w:rPr>
      </w:r>
      <w:r>
        <w:t xml:space="preserve">3.2. В целях принятия решения о реализации проекта муниципально-частного партнерства Отраслевой (функциональный) орган разрабатывает и направляет главе города Ставрополя проект постановления администрации города Ставрополя</w:t>
      </w:r>
      <w:r>
        <w:t xml:space="preserve"> о реализации проекта муниципально-частного партнерства, в соответствии с частями 3, 3.1, 3.2 (соответственно) </w:t>
        <w:br/>
        <w:t xml:space="preserve">статьи 10 Федерального закона № 224-ФЗ.</w:t>
      </w:r>
      <w:r>
        <w:rPr>
          <w:rFonts w:cs="Times New Roman"/>
        </w:rPr>
      </w:r>
      <w:r/>
    </w:p>
    <w:p>
      <w:pPr>
        <w:ind w:firstLine="539"/>
        <w:jc w:val="both"/>
        <w:rPr>
          <w:rFonts w:cs="Times New Roman"/>
        </w:rPr>
      </w:pPr>
      <w:r>
        <w:rPr>
          <w:rFonts w:cs="Times New Roman"/>
        </w:rPr>
      </w:r>
      <w:r>
        <w:t xml:space="preserve">3.3. Публичный партнер, в течение 20 дней со дня получения положительного заключения от КЭРиТ города Ставрополя, определяет в соответствии со статьей 19 Федерального закона № 224-ФЗ содержание </w:t>
      </w:r>
      <w:r>
        <w:t xml:space="preserve">к</w:t>
      </w:r>
      <w:r>
        <w:t xml:space="preserve">онкурсной документации в соответствии со статьей 21 Федерального закона № 224-ФЗ, порядок размещения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</w:t>
      </w:r>
      <w:r>
        <w:t xml:space="preserve"> </w:t>
      </w:r>
      <w:r>
        <w:t xml:space="preserve">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и направляет в Уполномоче</w:t>
      </w:r>
      <w:r>
        <w:t xml:space="preserve">нный орган для согласования конкурсную документацию для проведения конкурса на право заключения соглашения о муниципально-частном партнерстве.</w:t>
      </w:r>
      <w:r>
        <w:rPr>
          <w:rFonts w:cs="Times New Roman"/>
        </w:rPr>
      </w:r>
      <w:r/>
    </w:p>
    <w:p>
      <w:pPr>
        <w:ind w:firstLine="539"/>
        <w:jc w:val="both"/>
        <w:rPr>
          <w:rFonts w:cs="Times New Roman"/>
          <w:szCs w:val="20"/>
        </w:rPr>
      </w:pPr>
      <w:r>
        <w:rPr>
          <w:rFonts w:cs="Times New Roman"/>
        </w:rPr>
      </w:r>
      <w:r>
        <w:t xml:space="preserve">Кон</w:t>
      </w:r>
      <w:r>
        <w:t xml:space="preserve">курсной документацией должны быть предусмотрены </w:t>
        <w:br/>
        <w:t xml:space="preserve">в соответствии с частью 3 статьи 32 Федерального закона № 224-ФЗ срок </w:t>
        <w:br/>
        <w:t xml:space="preserve">и порядок проведения переговоров, условия соглашения, которые </w:t>
        <w:br/>
        <w:t xml:space="preserve">не подлежат изменению в ходе переговоров, и (или) условия, которые подлеж</w:t>
      </w:r>
      <w:r>
        <w:t xml:space="preserve">ат изменению с соблюдением предусмотренного конкурсной документацией порядка.</w:t>
      </w:r>
      <w:r>
        <w:rPr>
          <w:rFonts w:cs="Times New Roman"/>
        </w:rPr>
      </w:r>
      <w:r/>
    </w:p>
    <w:p>
      <w:pPr>
        <w:ind w:firstLine="540"/>
        <w:jc w:val="both"/>
        <w:rPr>
          <w:rFonts w:cs="Times New Roman"/>
          <w:szCs w:val="20"/>
          <w:highlight w:val="none"/>
        </w:rPr>
      </w:pPr>
      <w:r>
        <w:t xml:space="preserve">3.</w:t>
      </w:r>
      <w:r>
        <w:t xml:space="preserve">4. Уполномоченный орган в течение 10 дней с момента получения материалов от Отраслевого (функционального) органа осуществляет контроль за соответствием конкурсной документации предложению </w:t>
        <w:br/>
        <w:t xml:space="preserve">о реализации проекта, на основании которого принималось решение </w:t>
        <w:br/>
        <w:t xml:space="preserve">о </w:t>
      </w:r>
      <w:r>
        <w:t xml:space="preserve">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преимущества, и согласовывает ее.</w:t>
      </w:r>
      <w:r>
        <w:rPr>
          <w:rFonts w:cs="Times New Roman"/>
          <w:szCs w:val="20"/>
        </w:rPr>
      </w:r>
      <w:r/>
    </w:p>
    <w:p>
      <w:pPr>
        <w:ind w:firstLine="540"/>
        <w:jc w:val="both"/>
        <w:rPr>
          <w:szCs w:val="20"/>
          <w:highlight w:val="none"/>
        </w:rPr>
      </w:pPr>
      <w:r>
        <w:rPr>
          <w:rFonts w:cs="Times New Roman"/>
          <w:szCs w:val="20"/>
          <w:highlight w:val="none"/>
        </w:rPr>
      </w:r>
      <w:r>
        <w:t xml:space="preserve">3.5. По итогам анализа представленной Отраслевым (функциональным) органом конкурсной документации Уполномоченный орган подготавливает мотивированное заключение о согласовании конкурсной документации (отказе в согласовании с указанием оснований несоответств</w:t>
      </w:r>
      <w:r>
        <w:t xml:space="preserve">ия конкурсной документации со ссылкой на нормы статей 19, 21, 32 Федерального закона </w:t>
        <w:br/>
        <w:t xml:space="preserve">№ 224-ФЗ, которое направляется Отраслевому (функциональному) органу </w:t>
        <w:br/>
        <w:t xml:space="preserve">в течение 3 дней с даты подписания заключения.</w:t>
      </w:r>
      <w:r>
        <w:rPr>
          <w:rFonts w:cs="Times New Roman"/>
          <w:szCs w:val="20"/>
          <w:highlight w:val="none"/>
        </w:rPr>
      </w:r>
      <w:r/>
    </w:p>
    <w:p>
      <w:pPr>
        <w:ind w:firstLine="540"/>
        <w:jc w:val="both"/>
        <w:rPr>
          <w:szCs w:val="20"/>
          <w:highlight w:val="none"/>
        </w:rPr>
      </w:pPr>
      <w:r>
        <w:rPr>
          <w:highlight w:val="none"/>
        </w:rPr>
      </w:r>
      <w:r>
        <w:t xml:space="preserve">3.6. Отраслевой (функциональный) орган устраняет указанные </w:t>
        <w:br/>
        <w:t xml:space="preserve">в заключении несоответствия (при наличии) в течение 3 дней со дня получения заключения.</w:t>
      </w:r>
      <w:r>
        <w:rPr>
          <w:highlight w:val="none"/>
        </w:rPr>
      </w:r>
      <w:r/>
    </w:p>
    <w:p>
      <w:pPr>
        <w:ind w:firstLine="540"/>
        <w:jc w:val="both"/>
        <w:rPr>
          <w:szCs w:val="20"/>
          <w:highlight w:val="none"/>
        </w:rPr>
      </w:pPr>
      <w:r>
        <w:rPr>
          <w:highlight w:val="none"/>
        </w:rPr>
      </w:r>
      <w:r>
        <w:t xml:space="preserve">3.7. В срок, не превышающий 10 дней со дня получения </w:t>
        <w:br/>
        <w:t xml:space="preserve">от Уполномоченного органа заключения о согласовании конкурсной документации, Отраслевой (функциональный) орган разрабатывает проект постановления администрации города Ставрополя</w:t>
      </w:r>
      <w:r>
        <w:t xml:space="preserve"> о реализации проекта </w:t>
        <w:br/>
        <w:t xml:space="preserve">в соответствии с требованиями, предусмотренными частями </w:t>
        <w:br/>
        <w:t xml:space="preserve">3, 3.1, 3.2 (соответственно) статьи 10 Федерального закона № 224-ФЗ, </w:t>
        <w:br/>
        <w:t xml:space="preserve">и направляет главе города Ставрополя для подписания.</w:t>
      </w:r>
      <w:r>
        <w:rPr>
          <w:highlight w:val="none"/>
        </w:rPr>
      </w:r>
      <w:r/>
    </w:p>
    <w:p>
      <w:pPr>
        <w:ind w:firstLine="540"/>
        <w:jc w:val="both"/>
        <w:rPr>
          <w:szCs w:val="20"/>
          <w:highlight w:val="none"/>
        </w:rPr>
      </w:pPr>
      <w:r>
        <w:rPr>
          <w:highlight w:val="none"/>
        </w:rPr>
      </w:r>
      <w:r>
        <w:t xml:space="preserve">3.8. На основании постановления администрации города Ставрополя </w:t>
        <w:br/>
        <w:t xml:space="preserve">о реализации проекта Публичный партнер в порядке, предусмотренном статьями 19 - 32 Федерального закона № 224-ФЗ, в срок, не</w:t>
      </w:r>
      <w:r>
        <w:t xml:space="preserve"> превышающий 180 дней со дня принятия данного постановления, обеспечивает организацию </w:t>
        <w:br/>
        <w:t xml:space="preserve">и проведение конкурса на право заключения соглашения о МЧП, </w:t>
        <w:br/>
        <w:t xml:space="preserve">за исключением случаев, предусмотренных частями 3.2, 8 - 10 статьи </w:t>
        <w:br/>
        <w:t xml:space="preserve">10 Федерального закона № 224-ФЗ.</w:t>
      </w:r>
      <w:r>
        <w:rPr>
          <w:highlight w:val="none"/>
        </w:rPr>
      </w:r>
      <w:r/>
    </w:p>
    <w:p>
      <w:pPr>
        <w:ind w:firstLine="540"/>
        <w:jc w:val="both"/>
        <w:rPr>
          <w:rFonts w:cs="Times New Roman"/>
          <w:szCs w:val="20"/>
          <w:highlight w:val="none"/>
        </w:rPr>
      </w:pPr>
      <w:r>
        <w:rPr>
          <w:rFonts w:cs="Times New Roman"/>
          <w:szCs w:val="20"/>
          <w:highlight w:val="none"/>
        </w:rPr>
      </w:r>
      <w:r>
        <w:rPr>
          <w:rFonts w:cs="Times New Roman"/>
          <w:szCs w:val="20"/>
          <w:highlight w:val="none"/>
        </w:rPr>
      </w:r>
      <w:r/>
    </w:p>
    <w:p>
      <w:pPr>
        <w:ind w:firstLine="540"/>
        <w:jc w:val="center"/>
        <w:rPr>
          <w:rFonts w:cs="Times New Roman"/>
          <w:szCs w:val="20"/>
          <w:highlight w:val="none"/>
        </w:rPr>
      </w:pPr>
      <w:r>
        <w:rPr>
          <w:highlight w:val="none"/>
        </w:rPr>
      </w:r>
      <w:r>
        <w:t xml:space="preserve">4. Порядок заключения соглашения о реализации проекта</w:t>
      </w:r>
      <w:r>
        <w:rPr>
          <w:highlight w:val="none"/>
        </w:rPr>
      </w:r>
      <w:r/>
    </w:p>
    <w:p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  <w:szCs w:val="20"/>
          <w:highlight w:val="none"/>
        </w:rPr>
      </w:r>
      <w:r>
        <w:rPr>
          <w:rFonts w:cs="Times New Roman"/>
          <w:szCs w:val="20"/>
          <w:highlight w:val="none"/>
        </w:rPr>
      </w:r>
      <w:r/>
    </w:p>
    <w:p>
      <w:pPr>
        <w:pStyle w:val="856"/>
        <w:ind w:left="0" w:right="0" w:firstLine="567"/>
        <w:jc w:val="both"/>
        <w:rPr>
          <w:rFonts w:cs="Times New Roman"/>
          <w:highlight w:val="none"/>
        </w:rPr>
      </w:pPr>
      <w:r>
        <w:rPr>
          <w:rFonts w:cs="Times New Roman"/>
        </w:rPr>
      </w:r>
      <w:r>
        <w:tab/>
        <w:t xml:space="preserve">4.1. Соглашение заключается по итогам проведения конкурса на право заключения соглашения (далее - конкурс), за исключением случаев, предусмотренных частью 2 статьи 19 Федерального закона № 224-ФЗ.</w:t>
      </w:r>
      <w:r>
        <w:rPr>
          <w:rFonts w:cs="Times New Roman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</w:t>
      </w:r>
      <w:r>
        <w:t xml:space="preserve">.2.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</w:t>
      </w:r>
      <w:r>
        <w:t xml:space="preserve">я,</w:t>
      </w:r>
      <w:r>
        <w:t xml:space="preserve"> включающий в себя условия соглашения, определенные решением о реализации проекта, конкурсной документацией </w:t>
        <w:br/>
        <w:t xml:space="preserve">и представленным победителем конкурса конкурсным предложением, </w:t>
        <w:br/>
        <w:t xml:space="preserve">а также иные предусмотренные Федеральным законом № 224-ФЗ, другими федеральными зак</w:t>
      </w:r>
      <w:r>
        <w:t xml:space="preserve">онами условия.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</w:t>
      </w:r>
      <w:r>
        <w:t xml:space="preserve">.3.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</w:t>
        <w:br/>
        <w:t xml:space="preserve">и (или) проектом соглашения, публичный партнер вправе принять</w:t>
      </w:r>
      <w:r>
        <w:t xml:space="preserve"> решение об отказе в заключении соглашения с указанным лицом.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</w:t>
      </w:r>
      <w:r>
        <w:t xml:space="preserve">.4. После дня подписания членами конкурсной комиссии протокола </w:t>
        <w:br/>
        <w:t xml:space="preserve">о результатах проведения конкурса Публичный партнер на основании решения о реализации проекта проводит переговоры в форме совместных совещаний с поб</w:t>
      </w:r>
      <w:r>
        <w:t xml:space="preserve">ед</w:t>
      </w:r>
      <w:r>
        <w:t xml:space="preserve">ителем конкурса или с иным лицом, в отношении которого принято решение о заключении соглашения в соответствии </w:t>
        <w:br/>
        <w:t xml:space="preserve">с Федеральным законом № 224-ФЗ, в целях обсуждения условий соглашения и их возможного изменения по результатам переговоров. По результатам перег</w:t>
      </w:r>
      <w:r>
        <w:t xml:space="preserve">о</w:t>
      </w:r>
      <w:r>
        <w:t xml:space="preserve">воров не могут быть изменены существенные условия соглашения, </w:t>
        <w:br/>
        <w:t xml:space="preserve">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</w:t>
      </w:r>
      <w:r>
        <w:t xml:space="preserve">лашения.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</w:t>
      </w:r>
      <w:r>
        <w:t xml:space="preserve">.5. Результаты переговоров, проведенных в соответствии с пунктом </w:t>
        <w:br/>
        <w:t xml:space="preserve">4.4 настоящего Порядка, оформляются протоколом в течение 3 дней со дня проведения переговоров в двух экземплярах, один из которых направляется победителю Конкурса. По результатам данных пере</w:t>
      </w:r>
      <w:r>
        <w:t xml:space="preserve">говоров Отраслевой (функциональный) орган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4.6. Уполномоченный орган в течение 3 рабочих дней со дня получения соглашения и протокола переговоров направляет соглашение и прилагаемый протокол переговоров на согласование в КЭРиТ города Ставрополя </w:t>
        <w:br/>
        <w:t xml:space="preserve">на предмет соответствия соглашения в ча</w:t>
      </w:r>
      <w:r>
        <w:t xml:space="preserve">сти учета результатов оценки эффективности проекта и определения его сравнительного преимущества.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В случае несогласования КЭРиТ города Ставрополя соглашения </w:t>
        <w:br/>
        <w:t xml:space="preserve">и прилагаемого протокола переговоров Уполномоченный орган в течение </w:t>
        <w:br/>
        <w:t xml:space="preserve">3 дней со дня получения замечаний и предложений уведомляет победителя конкурса о наличии замечаний и предложен</w:t>
      </w:r>
      <w:r>
        <w:t xml:space="preserve">ий и назначает повторные переговоры в порядке, определенном в пункте 4.5 настоящего Порядка.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После проведения повторных переговоров Уполномоченный орган </w:t>
        <w:br/>
        <w:t xml:space="preserve">в обозначенный КЭРиТ города Ставрополя срок направляет исправленное соглашение и прилагаемый протокол переговоров на повторное рассмотрение в КЭРиТ города Ставрополя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4.7. В случае согласования КЭРиТ города Ставрополя соглашения </w:t>
        <w:br/>
        <w:t xml:space="preserve">и прилагаемого протокола переговоров Уполномоченный орган </w:t>
        <w:br/>
        <w:t xml:space="preserve">в течение 5 дней с момента его получения направляет согласованное соглашение в Отраслевой (функциональный) орган.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</w:t>
      </w:r>
      <w:r>
        <w:t xml:space="preserve">.8. Со</w:t>
      </w:r>
      <w:r>
        <w:t xml:space="preserve">глашение заключается в письменной форме с победителем конкурса или иным лицом, указанным в пунктах 1, 2, 3, 4 части 2 и части </w:t>
        <w:br/>
        <w:t xml:space="preserve">24 статьи 19 Федерального закона № 224-ФЗ, при условии представления ими документов, предусмотренных конкурсной документацией </w:t>
        <w:br/>
        <w:t xml:space="preserve">и </w:t>
      </w:r>
      <w:r>
        <w:t xml:space="preserve">подтверждающих обеспечение исполнения обязательств по соглашению, </w:t>
        <w:br/>
        <w:t xml:space="preserve">в случае, если такое обеспечение исполнения обязательств предусмотрено конкурсной документацией, в срок, установленный конкурсной документацией, но не ранее 10 дней с момента размещения</w:t>
      </w:r>
      <w:r>
        <w:t xml:space="preserve">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</w:t>
      </w:r>
      <w:r>
        <w:t xml:space="preserve">проведения открытого конкурса.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4.9. Соглашение вступает в силу с момента его подписания, если иное </w:t>
        <w:br/>
        <w:t xml:space="preserve">не предусмотрено соглашением.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4.10. В течение 3 дней со дня подписания соглашения Отраслевой (функциональный) орган направляет копию подписанного соглашения </w:t>
        <w:br/>
        <w:t xml:space="preserve">в Уполномоченный орган города Ставрополя для включения его в реестр заключенных соглашений о МЧП.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4.11. Уполномоченный орган в течение 3 дней со дня получения подписанного соглашения включает его в реестр заключенных соглашений </w:t>
        <w:br/>
        <w:t xml:space="preserve">о МЧП и размещает на информационном портале администрации </w:t>
        <w:br/>
        <w:t xml:space="preserve">города Ставрополя </w:t>
      </w:r>
      <w:r>
        <w:t xml:space="preserve">https://investinstav.ru/</w:t>
      </w:r>
      <w:r>
        <w:t xml:space="preserve"> раздел</w:t>
      </w:r>
      <w:r>
        <w:t xml:space="preserve"> «Муниципально-частное партнерство», а также обеспечивает размещение соглашения </w:t>
        <w:br/>
        <w:t xml:space="preserve">на специализированном информационном ресурсе Ставропольского края </w:t>
      </w:r>
      <w:r>
        <w:t xml:space="preserve">http://portal.stavinvest.ru/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pStyle w:val="856"/>
        <w:ind w:left="0" w:right="0" w:firstLine="567"/>
        <w:jc w:val="center"/>
        <w:rPr>
          <w:highlight w:val="none"/>
        </w:rPr>
      </w:pPr>
      <w:r>
        <w:rPr>
          <w:highlight w:val="none"/>
        </w:rPr>
      </w:r>
      <w:r>
        <w:t xml:space="preserve">5. Порядок осуществления контроля за исполнением соглашения о реализации проекта МЧП</w:t>
      </w:r>
      <w:r>
        <w:rPr>
          <w:highlight w:val="none"/>
        </w:rPr>
      </w:r>
      <w:r/>
    </w:p>
    <w:p>
      <w:pPr>
        <w:pStyle w:val="856"/>
        <w:ind w:left="0" w:right="0" w:firstLine="567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5.1. Контроль публичным партнером за исполнением соглашения осуществляется Отраслевым (функциональным) органом, органами и юридическими лицами, выступающими на стороне публичного партнера, в лице их представителей, которые на основа</w:t>
      </w:r>
      <w:r>
        <w:t xml:space="preserve">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соглашением, в целях выявления нарушений частным партнером условий соглашения, а также предотвращения так</w:t>
      </w:r>
      <w:r>
        <w:t xml:space="preserve">и</w:t>
      </w:r>
      <w:r>
        <w:t xml:space="preserve">х нарушений, в соответствии с правилами, установленными постановлением Правительства Российской Федерации от 30 декабря 2015 г. № 1490 «Об осуществлении публичным партнером контроля за исполнением соглашения о государственно-частном партнерстве и соглашен</w:t>
      </w:r>
      <w:r>
        <w:t xml:space="preserve">ия о муниципально-частном партнерстве».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5.2.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 Ука</w:t>
      </w:r>
      <w:r>
        <w:t xml:space="preserve">занный план на очередной календарный год составляется не позднее чем за один месяц до окончания текущего года. Подготовку плана обеспечивает Отраслевой (функциональный) орган путем разработки проекта постановления администрации города Ставрополя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5.3. В случае получения публичным партнером от юридических лиц, граждан (индивидуальных предпринимателей) и о</w:t>
      </w:r>
      <w:r>
        <w:t xml:space="preserve">траслевым (функциональным) органом</w:t>
      </w:r>
      <w:r>
        <w:t xml:space="preserve"> сведений в письменной форме о нарушении частным партнером условий соглашения, которое может стать основанием для обра</w:t>
      </w:r>
      <w:r>
        <w:t xml:space="preserve">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5.4. Не позднее чем за 14 календарных дней до даты начала проведения внепланового контрольного мероприятия частному партнеру Отраслевым (функциональным) органом направляется по почте заказным письмом уведомление о проведении контрольного мероприятия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</w:t>
      </w:r>
      <w:r>
        <w:t xml:space="preserve">.</w:t>
      </w:r>
      <w:r>
        <w:t xml:space="preserve">5. Срок контрольного мероприятия составляет не более </w:t>
        <w:br/>
        <w:t xml:space="preserve">14 календарных дней. В исключительных случаях, связанных </w:t>
        <w:br/>
        <w:t xml:space="preserve">с необходимостью проведения сложных и (или) длительных исследований, испытаний, специальных экспертиз и расследований, на основании мотивированн</w:t>
      </w:r>
      <w:r>
        <w:t xml:space="preserve">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5.6. Контрольное мероприятие может быть завершено до истечения установленного срока.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5.7. Результаты контрольных мероприятий оформляются не позднее </w:t>
        <w:br/>
        <w:t xml:space="preserve">5 рабочих дней с даты их окончания публичным партнером в лице Отраслевого (функционального) органа актом о результатах контроля, который включает в себя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5.8. К акту о результатах контроля за исполнением соглашения прилагаются справки, 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5.9. Акты о результатах контроля за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5.10. Акт о результатах контроля за исполнением соглашения составляется в 2 экземплярах и подписывается всеми проверяющими. Первый экземпляр акта о результатах контроля за исполнением соглашения вручается Отраслевым (функциональным) органом частному партне</w:t>
      </w:r>
      <w:r>
        <w:t xml:space="preserve">ру под расписку в течение 2 рабочих дней с момента подписания, второй экземпляр этого акта остается у публичного партнера.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</w:t>
      </w:r>
      <w:r>
        <w:t xml:space="preserve">11. Если указанным способом вручение акта о результатах контроля </w:t>
        <w:br/>
        <w:t xml:space="preserve">за исполнением соглашения невозможно, акт о результатах контроля </w:t>
        <w:br/>
        <w:t xml:space="preserve">за исполнением соглашения направляется публичным партнером в лице Отраслевого (функционального) органа частному партнеру по </w:t>
      </w:r>
      <w:r>
        <w:t xml:space="preserve">почте заказным письмом, которое приобщается к экземпляру указанного акта, остающегося у публичного партнера.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5.12.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</w:t>
      </w:r>
      <w:r>
        <w:t xml:space="preserve">ого частному партнеру для обжалования результатов контроля за исполнением соглашения, направляет частному партнеру уведомление </w:t>
        <w:br/>
        <w:t xml:space="preserve">об устранении выявленных нарушений с указанием сроков их устранения.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</w:t>
      </w:r>
      <w:r>
        <w:t xml:space="preserve">.13. По истечении срока, указанного в уведомлении об устранении выявленных нарушений, публичный партнер проводит в соответствии </w:t>
        <w:br/>
        <w:t xml:space="preserve">с настоящими Правилами контрольные мероприятия на предмет устранения частным партнером ранее выявленных нарушений условий согла</w:t>
      </w:r>
      <w:r>
        <w:t xml:space="preserve">шения. </w:t>
        <w:br/>
        <w:t xml:space="preserve">В случае если частным партнером в указанные в таком уведомлении сроки </w:t>
        <w:br/>
        <w:t xml:space="preserve">не устранены нарушения, публичный партнер вправе обратиться </w:t>
        <w:br/>
        <w:t xml:space="preserve">в суд с заявлением о досрочном расторжении соглашения.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5.14. Акт о результатах контроля подлежит размещению публичным партнером в лице Отраслевого (функционального) органа в течение пяти дней с даты составления данного акта на официальном сайте публичного партнера в информационно-телекоммуникационной сети «Инт</w:t>
      </w:r>
      <w:r>
        <w:t xml:space="preserve">ернет». </w:t>
        <w:br/>
        <w:t xml:space="preserve">Доступ к указанному акту обеспечивается в течение срока действия соглашения и после дня окончания его срока действия в течение трех лет.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5</w:t>
      </w:r>
      <w:r>
        <w:t xml:space="preserve">.15. Акт о результатах контроля не размещается в информационно-телекоммуникационной сети «Интернет» в случае, если сведения об объекте соглашения составляют государственную тайну или данный объект имеет стратегическое значение для обеспечения обороноспособ</w:t>
      </w:r>
      <w:r>
        <w:t xml:space="preserve">ности </w:t>
        <w:br/>
        <w:t xml:space="preserve">и безопасности государства.</w:t>
      </w:r>
      <w:r>
        <w:rPr>
          <w:highlight w:val="none"/>
        </w:rPr>
      </w:r>
      <w:r/>
    </w:p>
    <w:p>
      <w:pPr>
        <w:pStyle w:val="856"/>
        <w:ind w:left="0" w:right="0" w:firstLine="567"/>
        <w:jc w:val="center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pStyle w:val="856"/>
        <w:ind w:left="0" w:right="0" w:firstLine="567"/>
        <w:jc w:val="center"/>
        <w:rPr>
          <w:highlight w:val="none"/>
        </w:rPr>
      </w:pPr>
      <w:r>
        <w:rPr>
          <w:highlight w:val="none"/>
        </w:rPr>
      </w:r>
      <w:r>
        <w:t xml:space="preserve">6. Порядок мониторинга реализации соглашений о МЧП</w:t>
      </w:r>
      <w:r>
        <w:rPr>
          <w:highlight w:val="none"/>
        </w:rPr>
      </w:r>
      <w:r/>
    </w:p>
    <w:p>
      <w:pPr>
        <w:pStyle w:val="856"/>
        <w:ind w:left="0" w:right="0" w:firstLine="567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6.1. Отраслевой (функциональный) орган в течение 10 рабочих дней после принятия решения о реализации проекта МЧП в целях обеспечения проведения мониторинга направляет в отдел информационных технологий администрации города Ставрополя</w:t>
      </w:r>
      <w:r>
        <w:t xml:space="preserve"> в электронном виде сведения </w:t>
        <w:br/>
        <w:t xml:space="preserve">в соответствии с </w:t>
      </w:r>
      <w:r>
        <w:rPr>
          <w:rFonts w:cs="Times New Roman"/>
        </w:rPr>
        <w:t xml:space="preserve">Приказом Министерства экономического развития Российской Федерации от 02.02.2021 № 40 «Об утверждении Порядка мониторинга реализации соглашений о государственно-частном партнерстве, соглашений о муниципально-частном партнерстве»</w:t>
      </w:r>
      <w:r>
        <w:t xml:space="preserve"> (далее - Приказ </w:t>
      </w:r>
      <w:r>
        <w:rPr>
          <w:rFonts w:cs="Times New Roman"/>
        </w:rPr>
        <w:t xml:space="preserve">Минэк РФ от 02.02.2021 № 40</w:t>
      </w:r>
      <w:r>
        <w:t xml:space="preserve">) для размещения на сайте государственной автоматизированной информационной системы «Управление» и уведомляет об этом Уполномоченный орган в течение 2 рабочих дней с момента направлени</w:t>
      </w:r>
      <w:r>
        <w:t xml:space="preserve">я сведений.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6.2. Отраслевой (функциональный) орган в течение 10 рабочих дней </w:t>
        <w:br/>
        <w:t xml:space="preserve">с даты заключения соглашения направляет в комитет информационных технологий администрации города Ставрополя в электронном виде сведения в соответствии с </w:t>
      </w:r>
      <w:r>
        <w:rPr>
          <w:rFonts w:cs="Times New Roman"/>
        </w:rPr>
        <w:t xml:space="preserve">Приказом Минэк РФ от 02.02.2021 № 40</w:t>
      </w:r>
      <w:r>
        <w:t xml:space="preserve"> для размещения </w:t>
        <w:br/>
        <w:t xml:space="preserve">на сайте государственной автоматизированной информационной системы «Управление» и уведомляет об этом Уполномоченный орган в течение </w:t>
        <w:br/>
        <w:t xml:space="preserve">2 рабочих дней с момента направления сведений.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6.3</w:t>
      </w:r>
      <w:r>
        <w:t xml:space="preserve">. Отраслевой (функциональный) орган в течение всего периода реализации проекта (с момента принятия решения о реализации проекта </w:t>
        <w:br/>
        <w:t xml:space="preserve">до момента полного исполнения сторонами всех обязательств </w:t>
        <w:br/>
        <w:t xml:space="preserve">по соглашению) каждые шесть месяцев направляет в электронном виде </w:t>
        <w:br/>
        <w:t xml:space="preserve">в</w:t>
      </w:r>
      <w:r>
        <w:t xml:space="preserve"> комитет информационных технологий</w:t>
      </w:r>
      <w:r>
        <w:t xml:space="preserve"> администрации города Ставрополя для размещения в государственной автоматизированной информационной системе «Управление» сведения о фактических сроках исполнения сторонами обязательств по соглашению, а также о фактически достигнутых значениях критериев эфф</w:t>
      </w:r>
      <w:r>
        <w:t xml:space="preserve">ективности проекта и значениях показателей его сравнительного преимущества, на основании которых получено положительное заключение Уполномоченного органа и уведомляет об этом Уполномоченный орган в течение 2 рабочих дней с момента направления сведений. При</w:t>
      </w:r>
      <w:r>
        <w:t xml:space="preserve"> эт</w:t>
      </w:r>
      <w:r>
        <w:t xml:space="preserve">ом информация обо всех юридически значимых действиях </w:t>
        <w:br/>
        <w:t xml:space="preserve">в отношении соглашения, в том числе заключение, внесение изменений </w:t>
        <w:br/>
        <w:t xml:space="preserve">и расторжение соглашения, государственная регистрация прав на владение </w:t>
        <w:br/>
        <w:t xml:space="preserve">и пользование объектом, подписание актов о приеме-передаче объ</w:t>
      </w:r>
      <w:r>
        <w:t xml:space="preserve">ек</w:t>
      </w:r>
      <w:r>
        <w:t xml:space="preserve">та, передача земельных участков, приемка выполненных работ по строительству (реконструкции) объекта, ввод объекта в эксплуатацию направляются </w:t>
        <w:br/>
        <w:t xml:space="preserve">в электронном виде в отдел информационных технологий для размещения </w:t>
        <w:br/>
        <w:t xml:space="preserve">в государственной автоматизированной информа</w:t>
      </w:r>
      <w:r>
        <w:t xml:space="preserve">ционной системе «Управление» в течение 10 рабочих дней со дня совершения таких действий с приложением копий соответствующих документов и уведомляется Уполномоченный орган в течение 2 рабочих дней с момента направления сведений.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6.4. Размещение сведений, составляющих государственную тайну </w:t>
        <w:br/>
        <w:t xml:space="preserve">и иную охраняемую законом тайну, осуществляется в порядке, установленном законодательством Российской Федерации.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</w:t>
      </w:r>
      <w:r>
        <w:t xml:space="preserve">.5. Мониторинг реализации соглашений о муниципально-частном партнерстве осуществляется Уполномоченным органом в соответствии </w:t>
        <w:br/>
        <w:t xml:space="preserve">с Порядком мониторинга реализации соглашений о государственно-частном партнерстве, соглашений о муниципально-частном партнерстве, </w:t>
      </w:r>
      <w:r>
        <w:t xml:space="preserve">утвержденным </w:t>
      </w:r>
      <w:r>
        <w:t xml:space="preserve">Приказом </w:t>
      </w:r>
      <w:r>
        <w:rPr>
          <w:rFonts w:cs="Times New Roman"/>
        </w:rPr>
        <w:t xml:space="preserve">Минэк РФ от 02.02.2021 № 40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6.6. Уполномоченный орган в целях проведения мониторинга обеспечивает текущую проверку в рамках компетенции на достоверность внесенных Отраслевым (функциональным) органом в электронном виде посредством государственной автоматизированной информационной сист</w:t>
      </w:r>
      <w:r>
        <w:t xml:space="preserve">емы «Управление» сведений и документов, а также ежегодно формирует результаты мониторинга реализации соглашения о МЧП по состоянию на </w:t>
        <w:br/>
        <w:t xml:space="preserve">1 января года, следующего за отчетным, в соответствии с </w:t>
      </w:r>
      <w:r>
        <w:t xml:space="preserve">Приказом </w:t>
      </w:r>
      <w:r>
        <w:rPr>
          <w:rFonts w:cs="Times New Roman"/>
        </w:rPr>
        <w:br/>
        <w:t xml:space="preserve">Минэк РФ от 02.02.2021 № 40</w:t>
      </w:r>
      <w:r>
        <w:t xml:space="preserve">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6.7. Уполномоченный орган ежегодно до 1 февраля года, следующего за отчетным годом, представляет в КЭРиТ города Ставрополя результаты мониторинга соглашений о муниципально-частном партнерстве, а также размещает результаты мониторинга о </w:t>
      </w:r>
      <w:r>
        <w:t xml:space="preserve">реализации соглашения о МЧП </w:t>
        <w:br/>
        <w:t xml:space="preserve">на официальном сайте администрации города Ставрополя в информационно-телекоммуникационной сети «Интернет».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6.8. Уполномоченный орган уведомляет КЭРиТ города Ставрополя </w:t>
        <w:br/>
        <w:t xml:space="preserve">о размещении в электронном виде посредством государственной автоматизированной информационной системы «Управление» сведений, определенных Порядком мониторинга реализации соглашен</w:t>
      </w:r>
      <w:r>
        <w:t xml:space="preserve">ий </w:t>
        <w:br/>
        <w:t xml:space="preserve">о государственно-частном партнерстве, соглашений о муниципально-частном партнерстве, утвержденным </w:t>
      </w:r>
      <w:r>
        <w:t xml:space="preserve">Приказом </w:t>
      </w:r>
      <w:r>
        <w:rPr>
          <w:rFonts w:cs="Times New Roman"/>
        </w:rPr>
        <w:t xml:space="preserve">Минэк РФ от 02.02.2021 № 40</w:t>
      </w:r>
      <w:r>
        <w:t xml:space="preserve">, </w:t>
        <w:br/>
        <w:t xml:space="preserve">в течение 5 рабочих дней со дня их внесения.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6"/>
        <w:ind w:left="0" w:right="0" w:firstLine="567"/>
        <w:jc w:val="center"/>
        <w:rPr>
          <w:highlight w:val="none"/>
        </w:rPr>
      </w:pPr>
      <w:r>
        <w:rPr>
          <w:highlight w:val="none"/>
        </w:rPr>
      </w:r>
      <w:r>
        <w:t xml:space="preserve">7. Информация о проекте МЧП</w:t>
      </w:r>
      <w:r>
        <w:rPr>
          <w:highlight w:val="none"/>
        </w:rPr>
      </w:r>
      <w:r/>
    </w:p>
    <w:p>
      <w:pPr>
        <w:pStyle w:val="856"/>
        <w:ind w:left="0" w:right="0" w:firstLine="567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rPr>
          <w:highlight w:val="none"/>
        </w:rPr>
      </w:r>
      <w:r>
        <w:t xml:space="preserve">7.1. Размещению на официальном сайте администрации </w:t>
        <w:br/>
        <w:t xml:space="preserve">города Ставрополя в информационно-телекоммуникационной сети «Интернет» подлежит следующая информация: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</w:pPr>
      <w:r>
        <w:rPr>
          <w:highlight w:val="none"/>
        </w:rPr>
      </w:r>
      <w:r>
        <w:t xml:space="preserve">1) информация о проекте;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</w:pPr>
      <w:r>
        <w:t xml:space="preserve">2) решение о реализации проекта;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</w:pPr>
      <w:r>
        <w:t xml:space="preserve">3) реестр соглашений о муниципально-частном партнерстве;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</w:pPr>
      <w:r>
        <w:t xml:space="preserve">4) результаты мониторинга реализации соглашения;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</w:pPr>
      <w:r>
        <w:t xml:space="preserve">5) отчеты о результатах проверок исполнения частным партнером обязательств по соглашению;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</w:pPr>
      <w:r>
        <w:t xml:space="preserve">6)</w:t>
      </w:r>
      <w:r>
        <w:t xml:space="preserve"> конкурсная документация и информация о порядке проведения конкурсных процедур;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t xml:space="preserve">7) иная информация, подлежащая размещению в соответствии с Законом № 224-ФЗ.</w:t>
      </w:r>
      <w:r/>
    </w:p>
    <w:p>
      <w:pPr>
        <w:pStyle w:val="856"/>
        <w:ind w:left="0" w:right="0" w:firstLine="567"/>
        <w:jc w:val="both"/>
      </w:pPr>
      <w:r>
        <w:rPr>
          <w:highlight w:val="none"/>
        </w:rPr>
      </w:r>
      <w:r>
        <w:t xml:space="preserve">7.2. Информация, размещенная на официальном сайте администрации города Ставрополя в информационно-телекоммуникационной сети «Интернет», должна быть полной, актуальной и достоверной. </w:t>
      </w:r>
      <w:r>
        <w:rPr>
          <w:highlight w:val="none"/>
        </w:rPr>
      </w:r>
      <w:r/>
    </w:p>
    <w:p>
      <w:pPr>
        <w:pStyle w:val="856"/>
        <w:ind w:left="0" w:right="0" w:firstLine="567"/>
        <w:jc w:val="both"/>
        <w:rPr>
          <w:highlight w:val="none"/>
        </w:rPr>
      </w:pPr>
      <w:r>
        <w:t xml:space="preserve">7.3. Размещение информации о проекте МЧП осуществляет комитет и</w:t>
      </w:r>
      <w:r>
        <w:t xml:space="preserve">нформационных технологий администрации города Ставрополя </w:t>
        <w:br/>
        <w:t xml:space="preserve">на основании заявок и материалов в электронном виде, поступивших </w:t>
        <w:br/>
        <w:t xml:space="preserve">от Отраслевого (функционального) органа, Уполномоченного органа в сроки, указанные в заявках и соответствую</w:t>
      </w:r>
      <w:r>
        <w:t xml:space="preserve">щие требованиям Федерального закона № 224-ФЗ.</w:t>
      </w:r>
      <w:r>
        <w:rPr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567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fldSimple w:instr="PAGE \* MERGEFORMAT">
      <w:r>
        <w:t xml:space="preserve">1</w:t>
      </w:r>
    </w:fldSimple>
    <w:r/>
    <w:r/>
  </w:p>
  <w:p>
    <w:pPr>
      <w:pStyle w:val="856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/>
  </w:p>
  <w:p>
    <w:pPr>
      <w:pStyle w:val="8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cs="Tahoma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character" w:styleId="697">
    <w:name w:val="Title Char"/>
    <w:basedOn w:val="852"/>
    <w:link w:val="86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rFonts w:cs="Tahoma"/>
      <w:sz w:val="28"/>
      <w:szCs w:val="28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Цитата1"/>
    <w:basedOn w:val="851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56">
    <w:name w:val="Header"/>
    <w:basedOn w:val="851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57">
    <w:name w:val="page number"/>
    <w:basedOn w:val="852"/>
  </w:style>
  <w:style w:type="paragraph" w:styleId="858">
    <w:name w:val="Footer"/>
    <w:basedOn w:val="851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rPr>
      <w:rFonts w:cs="Tahoma"/>
      <w:sz w:val="28"/>
      <w:szCs w:val="28"/>
    </w:rPr>
  </w:style>
  <w:style w:type="character" w:styleId="860" w:customStyle="1">
    <w:name w:val="Верхний колонтитул Знак"/>
    <w:basedOn w:val="852"/>
    <w:link w:val="856"/>
    <w:uiPriority w:val="99"/>
    <w:rPr>
      <w:rFonts w:cs="Tahoma"/>
      <w:sz w:val="28"/>
      <w:szCs w:val="28"/>
    </w:rPr>
  </w:style>
  <w:style w:type="paragraph" w:styleId="861">
    <w:name w:val="Body Text"/>
    <w:basedOn w:val="851"/>
    <w:link w:val="862"/>
    <w:rPr>
      <w:rFonts w:cs="Times New Roman"/>
    </w:rPr>
  </w:style>
  <w:style w:type="character" w:styleId="862" w:customStyle="1">
    <w:name w:val="Основной текст Знак"/>
    <w:basedOn w:val="852"/>
    <w:link w:val="861"/>
    <w:rPr>
      <w:sz w:val="28"/>
      <w:szCs w:val="28"/>
    </w:rPr>
  </w:style>
  <w:style w:type="table" w:styleId="863">
    <w:name w:val="Table Grid"/>
    <w:basedOn w:val="8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>
    <w:name w:val="Balloon Text"/>
    <w:basedOn w:val="851"/>
    <w:link w:val="865"/>
    <w:rPr>
      <w:rFonts w:ascii="Tahoma" w:hAnsi="Tahoma"/>
      <w:sz w:val="16"/>
      <w:szCs w:val="16"/>
    </w:rPr>
  </w:style>
  <w:style w:type="character" w:styleId="865" w:customStyle="1">
    <w:name w:val="Текст выноски Знак"/>
    <w:basedOn w:val="852"/>
    <w:link w:val="864"/>
    <w:rPr>
      <w:rFonts w:ascii="Tahoma" w:hAnsi="Tahoma" w:cs="Tahoma"/>
      <w:sz w:val="16"/>
      <w:szCs w:val="16"/>
    </w:rPr>
  </w:style>
  <w:style w:type="paragraph" w:styleId="866">
    <w:name w:val="Title"/>
    <w:basedOn w:val="851"/>
    <w:link w:val="867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867" w:customStyle="1">
    <w:name w:val="Название Знак"/>
    <w:basedOn w:val="852"/>
    <w:link w:val="866"/>
    <w:rPr>
      <w:rFonts w:eastAsia="Arial Unicode MS"/>
      <w:spacing w:val="-20"/>
      <w:sz w:val="36"/>
    </w:rPr>
  </w:style>
  <w:style w:type="paragraph" w:styleId="868">
    <w:name w:val="List Paragraph"/>
    <w:basedOn w:val="8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5EAEF9F-A2BE-45AD-8C4D-0EDA9D4E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23</cp:revision>
  <dcterms:created xsi:type="dcterms:W3CDTF">2022-10-27T06:33:00Z</dcterms:created>
  <dcterms:modified xsi:type="dcterms:W3CDTF">2023-01-31T11:17:24Z</dcterms:modified>
</cp:coreProperties>
</file>