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/>
        <w:spacing w:after="0" w:line="238" w:lineRule="exact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highlight w:val="white"/>
        </w:rPr>
      </w:r>
      <w:bookmarkStart w:id="0" w:name="Par0"/>
      <w:r>
        <w:rPr>
          <w:highlight w:val="white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Приложение 3</w:t>
      </w:r>
      <w:r>
        <w:rPr>
          <w:highlight w:val="white"/>
        </w:rPr>
      </w:r>
    </w:p>
    <w:p>
      <w:pPr>
        <w:ind w:left="5387"/>
        <w:spacing w:after="0" w:line="238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к извещению об осуществлении закупки путем проведения электронного аукциона</w:t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Требования к содержанию, составу заявки на участие в закупке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и инструкция по ее заполнению</w:t>
      </w:r>
      <w:r>
        <w:rPr>
          <w:rStyle w:val="870"/>
          <w:rFonts w:ascii="Times New Roman" w:hAnsi="Times New Roman" w:cs="Times New Roman"/>
          <w:b/>
          <w:bCs/>
          <w:sz w:val="28"/>
          <w:szCs w:val="28"/>
          <w:highlight w:val="white"/>
        </w:rPr>
        <w:footnoteReference w:id="2"/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Реес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тровый номер закупки: № __-ЭА/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4</w:t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18"/>
          <w:szCs w:val="18"/>
          <w:highlight w:val="white"/>
          <w:lang w:eastAsia="ru-RU"/>
        </w:rPr>
        <w:t xml:space="preserve">(в системе нумерации уполномоченного органа)</w:t>
      </w:r>
      <w:r>
        <w:rPr>
          <w:rFonts w:ascii="Times New Roman" w:hAnsi="Times New Roman" w:eastAsia="Times New Roman" w:cs="Times New Roman"/>
          <w:sz w:val="18"/>
          <w:szCs w:val="18"/>
          <w:highlight w:val="white"/>
          <w:vertAlign w:val="superscript"/>
          <w:lang w:eastAsia="ru-RU"/>
        </w:rPr>
        <w:footnoteReference w:id="3"/>
      </w:r>
      <w:r>
        <w:rPr>
          <w:highlight w:val="white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срока подачи заявок на участие в закупке.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 осуществлении закупки, и в соответствии с заявкой такого участника закупки на участие в закупке.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проведении электронного аукциона подать заявку на участие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Федеральным законом № 44-ФЗ оператору электронной площадки.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Заявка на участие в закупке должна быть подписана усиленной электронной подписью.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Участник закупки, подавший заявку на участие в закупке, вправе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в соответствии с частями 10 и 11 статьи 43 Федерального закона № 44-ФЗ отозвать такую заявку: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highlight w:val="white"/>
        </w:rPr>
      </w:r>
      <w:bookmarkStart w:id="1" w:name="Par60"/>
      <w:r>
        <w:rPr>
          <w:highlight w:val="white"/>
        </w:rPr>
      </w:r>
      <w:bookmarkEnd w:id="1"/>
      <w:r>
        <w:rPr>
          <w:rFonts w:ascii="Times New Roman" w:hAnsi="Times New Roman" w:cs="Times New Roman"/>
          <w:sz w:val="28"/>
          <w:szCs w:val="28"/>
          <w:highlight w:val="white"/>
        </w:rPr>
        <w:t xml:space="preserve">1) до окончания срока подачи заявок на участие в закупке;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highlight w:val="white"/>
        </w:rPr>
      </w:r>
      <w:bookmarkStart w:id="2" w:name="Par61"/>
      <w:r>
        <w:rPr>
          <w:highlight w:val="white"/>
        </w:rPr>
      </w:r>
      <w:bookmarkEnd w:id="2"/>
      <w:r>
        <w:rPr>
          <w:rFonts w:ascii="Times New Roman" w:hAnsi="Times New Roman" w:cs="Times New Roman"/>
          <w:sz w:val="28"/>
          <w:szCs w:val="28"/>
          <w:highlight w:val="white"/>
        </w:rPr>
        <w:t xml:space="preserve">2) с момента размещения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№ 44-ФЗ в единой информационной системе протокола подведения итогов определения поставщика (подрядчика, исполнителя) до размещения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в соответствии с частью 2 статьи 51 Федерального закона № 44-ФЗ проекта контракт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а, заключаемого с таким участником закупки, за исключением случаев, если такая заявка отклонена (при проведении электронных процедур). Не допускается отзыв заявок, которым в соответствии с Федеральным законом № 44-ФЗ присвоены первые три порядковых номера.</w:t>
      </w:r>
      <w:r>
        <w:rPr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br w:type="page" w:clear="all"/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участия в электронном аукционе заявка на участие в закупке, если иное не предусмотрено Федеральным законом № 44-ФЗ, должна содержать: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highlight w:val="white"/>
        </w:rPr>
      </w:r>
    </w:p>
    <w:tbl>
      <w:tblPr>
        <w:tblW w:w="5057" w:type="pct"/>
        <w:jc w:val="center"/>
        <w:tblLook w:val="01E0" w:firstRow="1" w:lastRow="1" w:firstColumn="1" w:lastColumn="1" w:noHBand="0" w:noVBand="0"/>
      </w:tblPr>
      <w:tblGrid>
        <w:gridCol w:w="633"/>
        <w:gridCol w:w="2809"/>
        <w:gridCol w:w="6008"/>
      </w:tblGrid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№</w:t>
            </w:r>
            <w:r>
              <w:rPr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п/п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Наименование пункта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Текст пояснений</w:t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1. Информация и документы об участнике закупки</w:t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Информация и документы, которые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не включаются участником закупки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в заявку на участие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в закупке (такие информация и документы в случаях, предусмотренных Федеральным законом № 44-ФЗ, направляются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(по состоянию на дату и время их направления) заказчику оператором электронной площадки путем информационного взаимодействия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с единой информационной системой)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8" w:type="dxa"/>
            <w:vAlign w:val="center"/>
            <w:textDirection w:val="lrTb"/>
            <w:noWrap w:val="false"/>
          </w:tcPr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а) полное и сокращенное (при наличии) наименование юридического лица, в том числе иностранного юридического лица (если участником закупки является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наименование обособленного подразделения юридического ли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ца (если от имени участника закупки выступает обособленное подразделение юридического лица), фамилия, имя, отчество (при наличии) (если участником закупки является физическое лицо, в том числе зарегистрированное в качестве индивидуального предпринимателя);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б) фамилия, имя, отчество (при наличии), идентификационный номер налогоплательщика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(при наличии) и должность лица, имеющего право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без доверенности дейс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твовать от имени юридического лица, либо действующего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лица;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</w:r>
            <w:bookmarkStart w:id="3" w:name="Par4"/>
            <w:r>
              <w:rPr>
                <w:highlight w:val="white"/>
              </w:rPr>
            </w:r>
            <w:bookmarkEnd w:id="3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в)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идентификационный номер налогоплательщика (при наличии) членов коллегиального исполнительного органа, лица, исполняющего функции единоличного исполнительного органа, управляющег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 (при наличии), управляющей организации (при наличии), участников (членов) корпоративного юридического лица, владеющих более чем двадцатью пятью процентами акций (долей, паев) корпоративного юридического лица, учредителей унитарного юридического лица или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 адрес юридического лица, в том числе иностранного юридического лица (если участником закупки является юридическое лицо) в пределах места нахождения юридического лица, адрес (место нахождения) аккредитованного филиала или представительства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 территории Российской Федерации (если от имени иностранного юридического лица выступает аккредитованный филиал или представительство), адрес (место нахождения) обособленного подразделения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юридического лица (если от имени участника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закупки выступает обособленное подразделение юридического лица), место жительства физического лица, в том числе зарегистрированного в качестве индивидуального предпринимателя (если участник закупки является физическим лицом, в том числе зарегистрированным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в качестве индивидуального предпринимателя), адрес электронной почты, номер контактного телефона;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 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лицом, не являющимся индивидуальным предпринимателем);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 идентификационный номер налогоплательщика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нного юридического лица выступает аккредитованный филиал или представительство), физического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в качестве индивидуального предпринимателя), аналог идентификационного номера налогоплательщика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в соответствии с законодательством 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является юридическое лицо), аккредитованного филиала или представительства иностранного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от имени участника закупки выступает обособленное подразделение юридического лица);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ж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 выписка из единого государственного реестра юридических лиц (если участником закупки является юридическое лицо), выписка из единого государственного реестра индивидуальных предпринимателей (если участником закупки является индивидуальный предприниматель);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надлежащим образом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заверенный перевод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на русский язык документов о государственной регистрации юридического лица или физического лица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качестве индивидуального предпринимателя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в соответствии с законодательством соответствующего государства (если участником закупки является иностранное лицо);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 декларация о принадлежности участника закупки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к учреждению или предприятию уголовно-исполнительной системы (если участник закупки является учреждением или предприятием уголовно-исполнительной системы);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 декларация о принадлежности участника закупки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к организации инвалидов, предусмотренной частью 2 статьи 29 Федерального закона № 44-ФЗ (если участник закупки является такой организацией);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</w:r>
            <w:bookmarkStart w:id="4" w:name="Par12"/>
            <w:r>
              <w:rPr>
                <w:highlight w:val="white"/>
              </w:rPr>
            </w:r>
            <w:bookmarkEnd w:id="4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л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 декларация о принадлежности участника закупки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к социально ориентированным некоммерческим организациям в случае установления преимущества, предусмотренного частью 3 статьи 30 Федерального закона № 44-ФЗ.</w:t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1.2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Информация и документы, которые включаются участником закупки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в заявку на участие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в закупке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8" w:type="dxa"/>
            <w:vAlign w:val="center"/>
            <w:textDirection w:val="lrTb"/>
            <w:noWrap w:val="false"/>
          </w:tcPr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 решение о согласии на совершение или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для участника закупки заключение контракта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на поставку товара, выполнение работы или оказание услуги, являющихся объектом закупки, либо внесение денежных средств в качестве обеспечения заявки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 участие в закупке, обеспечения исполнения контракта является крупной сделкой;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 декларация о соответствии участника закупки требованиям, установленным пунктами 3-5, </w:t>
            </w:r>
            <w:hyperlink r:id="rId11" w:tooltip="consultantplus://offline/ref=49A61B05DCF29D4870CE573AB4B8D14DAF29EF9ECD8695D84A965932B3F28FC686A4F0CE32CE18A18D3F42DF5786CAA76A4F2A656DOFjCG" w:history="1">
              <w:r>
                <w:rPr>
                  <w:rFonts w:ascii="Times New Roman" w:hAnsi="Times New Roman" w:cs="Times New Roman"/>
                  <w:sz w:val="24"/>
                  <w:szCs w:val="24"/>
                  <w:highlight w:val="white"/>
                </w:rPr>
                <w:t xml:space="preserve">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-11 части 1 статьи 31 Федерального закона № 44-ФЗ и подпунктами 2-10 пункта 21.2 извещения </w:t>
              <w:br/>
              <w:t xml:space="preserve">об осуществлении закупки;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 реквизиты счета участника закупки, на который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в соответствии с законодательст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с законодательством Российской Федерации такой счет открывается после заключения контракта;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 документы, подтверждающие соответствие участника закупки требованиям, установленным пунктом 1 части 1 статьи 31 Федерального закона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№ 44-ФЗ и пунктом 21.1 извещения об осуществлении закупки: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в случае, если пунктом 21.1 извещения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об осуществлении закупки к участникам закупки установлены требования в соответствии с пунктом 1 части 1 статьи 31 Федерального закона № 44-ФЗ, указать перечень документов, подтверждающих соответствие участника закупки таким требованиям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в строгом соответствии с перечнем, указанным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в пункте 21.1 извещения об осуществлении закупки;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white"/>
                <w:u w:val="single"/>
                <w:lang w:eastAsia="ru-RU"/>
              </w:rPr>
              <w:t xml:space="preserve">ИЛИ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в случае, если пунктом 21.1 извещения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об осуществлении закупки к участникам закупки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не установлены требования в соответствии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с пунктом 1 части 1 статьи 31 Федерального закона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№ 44-ФЗ, указать: 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требования к участникам закупки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с пунктом 1 части 1 статьи 31 Федерального закона № 44-ФЗ не установлены;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д) в случае, если извещением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 осуществлении закупки путем проведения электронного аукциона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предусмотрено предоставление обеспечения заявки на участие в закупке (далее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– обеспечение заявки)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участником закупки, являющимся юридическим лицом, зарегистрированным на территории государства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члена Евразийского экономического союза, за исключением Российской Федерации, или физическим лицом, являющимся гражданином государства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члена Евразийского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экономического союза, за исключением Российской Федерации, предоставляется обеспечение заявки в виде денежных средств с учетом особенностей, предусмотренных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постановлением Правительства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от 10.04.2023 № 579 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 особенностях порядка предоставления обеспечения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заявок на участие в закупках товаров, работ, услуг для обеспечения государственных или муниципальных нужд участни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ками таких закупок, являющимися иностранными лицами», заявка на участие в закупке должна содержать информацию и документы, подтверждающие предоставление обеспечения заявки, в форме электронных документов или в форме электронных образов бумажных документов.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1.3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окументы, подтверждающие соответствие участника закупки дополнительным требованиям, установленным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в соответствии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с част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ью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 2 (при наличии таких требований) статьи 31 Федерального закона № 44-ФЗ, если иное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не предусмотрено Федеральным законом № 44-ФЗ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такие документы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не включаются участником закупки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в заявку на участие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в закупке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, 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 в случаях, предусмотренных Федеральным законом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 № 44-ФЗ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, направляются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(по состоянию на дату и время их направления) заказчику оператором электронной площадки из реестра участников закупок, аккредитованных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на электронной площадке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)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требуются.</w:t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white"/>
                <w:u w:val="single"/>
                <w:lang w:eastAsia="ru-RU"/>
              </w:rPr>
              <w:t xml:space="preserve">ИЛИ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В случае установления дополнительных требований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к участникам электронного аукциона в соответствии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с частью 2 статьи 31 Федерального закона № 44-ФЗ и пунктом 21.4 извещения об осуществлении закупки указать перечень документов, подтверждающих соответствие участника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закупки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 дополнительным требованиям, установленным в соответствии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с частью 2 статьи 31 Федерального закона № 44-ФЗ,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в строгом соответствии с пунктом 21.4 извещения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об осуществлении закупки.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Кроме того, указать:</w:t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Предусмотренные настоящим пунктом информация и документы, подтверждающие соответствие участников закупки дополнительным требованиям, направляются участниками закупки в соответствии с требованиями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 xml:space="preserve">Федерального закона № 44-ФЗ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в полном объеме 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со всеми приложениями (за исключением случаев, предусмотренных абзацами шестым и седьмым подпункта «г» пункта 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постановления Правительства Российской Федерации от 29 декабря 2021 г. № 2571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br/>
            </w:r>
            <w:r>
              <w:rPr>
                <w:bCs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 требованиях к участникам закупки товаров, работ,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</w:t>
            </w:r>
            <w:r>
              <w:rPr>
                <w:bCs/>
                <w:sz w:val="24"/>
                <w:szCs w:val="24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(далее – Постановление № 2571)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 Такие информация и документы направляются в форме электронных документов или в форме электронных образов бумажных документов. 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Если предусмотренные настоящим пунктом по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реестрах, размещенных в информационно-телекоммуникационной сети «Интернет», в том числе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ведение которых осуществляется в единой информационной системе с размещением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на официальном сайте единой информационной системы в информационно-телекоммуникационной сети «Интернет» таких документов, вместо направления таких документов участник закупки вправе направить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в соответствии с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 xml:space="preserve">Федеральным законом № 44-ФЗ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номер реестровой записи из соответствующего реестра.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В случае наличия противоречий между информацией, содержащейся в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единой информационной системе, и информацией, содержащейся в документах, направляемых участниками закупки и подтверждающих соответствие участников закупки дополнительным требованиям, приоритет имеет информация, содержащаяся в единой информационной системе.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В случае, если дополнительн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ы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е требовани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я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к участникам закупки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 установлен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ы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 по позици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6-18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приложения к постановлению Правительства Российской Федерации от 29 декабря 2021 г. № 2571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дополнительно указать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:</w:t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Допускается направление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с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 xml:space="preserve">Федеральным законом № 44-ФЗ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предусмотренных настоящим пунктов договоров, актов приемки объекта капитального строительства без приложения к ним проектной документации (если проектная документация является приложением к таким договорам, актам).</w:t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В случае, если дополнительные требования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br/>
              <w:t xml:space="preserve">к участникам закупки установлены по позициям 6-18 приложения к постановлению Правительства Российской Федерации от 29 декабря 2021 г. № 2571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и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в перечне информации и документов, подтверждающих соответствие участника закупки дополнительным требованиям,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 указан акт приемки объекта капитального строительства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, дополнительно указать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:</w:t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Допускается направление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 Федеральным законом № 44-ФЗ актов приемки объекта капитального строительства, к которым относятся в том числе акт приемки законченного строительством объекта по типовым межотраслевым формам № КС-11, № КС-14 и акт прием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ки объекта капитального строительства по формам, предусмотренным сводом правил,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без приложений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1.4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Документы,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подтверждающие соответствие участника закупки дополнительным требованиям, установленным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в соответствии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с частью 2.1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(при наличии таких требований) статьи 31 Федерального закона № 44-ФЗ, если иное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не предусмотрено Федеральным законом № 44-ФЗ (такие документы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не включаются участником закупки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br/>
              <w:t xml:space="preserve">в заявку на участие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br/>
              <w:t xml:space="preserve">в закупке, а в случаях, предусмотренных Федеральным законом № 44-ФЗ, направляются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br/>
              <w:t xml:space="preserve">(по состоянию на дату и время их направления) заказчику оператором электронной площадки из реестра участников закупок, аккредитованных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на электронной площадке)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требуются.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white"/>
                <w:u w:val="single"/>
                <w:lang w:eastAsia="ru-RU"/>
              </w:rPr>
              <w:t xml:space="preserve">ИЛИ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  <w:lang w:eastAsia="ru-RU"/>
              </w:rPr>
              <w:t xml:space="preserve">В случае, если начальная (максимальная) цена контракта составляет двадцать миллионов рублей и более (за исключением случая осуществления закупок,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  <w:lang w:eastAsia="ru-RU"/>
              </w:rPr>
              <w:br/>
              <w:t xml:space="preserve">в отношении участников которых Правительством Российской Федерации установлены дополнительные требования в соответствии с частью 2 статьи 31 Федерального закона № 44-ФЗ) и пунктом 21.5 извещения об осуществлении закупки, указать: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highlight w:val="white"/>
                <w:lang w:eastAsia="ru-RU"/>
              </w:rPr>
              <w:t xml:space="preserve">Информацией и д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highlight w:val="white"/>
                <w:lang w:eastAsia="ru-RU"/>
              </w:rPr>
              <w:t xml:space="preserve">окументами, подтверждающими соответствие участника закупки дополнительному требованию, установленному в соответствии с частью 2.1 статьи 31 Федерального закона № 44-ФЗ, являются информация и документы, предусмотренные хотя бы одним из следующих подпунктов: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а) номер реестровой записи в предусмотренном Федеральным законом № 44-ФЗ реестре контрактов, заключенных заказчиками (в случае исполнения участником закупки контракта, информация и документы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 отношении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которого включены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br/>
              <w:t xml:space="preserve">в установленном порядке в такой реестр и размещены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br/>
              <w:t xml:space="preserve">на официальном сайте единой информационной системы в информационно-телекоммуникационной сети «Интернет»);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б) выписка из предусмотренного Федеральным законом № 44-ФЗ реестра контрактов, содержащего сведения, составляющие государственную тайну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br/>
              <w:t xml:space="preserve">(в случае исполнения участником закупки контракта, информация о котором включена в установленном порядке в такой реестр);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в) исполненный контракт, заключенный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br/>
              <w:t xml:space="preserve">в соответствии с Федеральным законом № 44-ФЗ, или договор, заключенный в соот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ветствии с Федеральным законом «О закупках товаров, работ, услуг отдельными видами юридических лиц», а также акт приемки поставленных товаров, выполненных работ, оказанных услуг, подтверждающий цену поставленных товаров, выполненных работ, оказанных услуг.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Предложение участника закупки в отношении объекта закупки</w:t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Информация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о предлагаемом участником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закупки товаре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В случае осуществления закупки работ, услуг,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при выполнении, оказании которых не предусмотрена поставка товаров, указать: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требуется.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В случае осуществления закупки товара, в том числе поставляемого заказчику при выполнении закупаемых работ, оказании закупаемых услуг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, указать: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а) наименование страны происхождения товара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в соответствии с общероссийским классификатором, используемым для идентификации стран мира;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 характеристики предлагаемого участником закупки товара, соответствующие показателям, установленным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в описании объекта закупки в соответствии с частью 2 статьи 33 Федерального закона № 44-ФЗ, товарный знак (при наличии у товара товарного знака). Информация, предусмотренная данным подпунктом, может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при выполнении закупаемых работ, оказании закупаемых услуг, обоз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наченного таким товарным знаком.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соответствии с пунктом 31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ополнительных требований к операторам электронных площадок, операторам специализированных электронных площадок и функционированию электронных площадок, специализированных электронных площадок, утвержденных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постановлением Правительства Российской Федерации от 8 июня 2018 г. № 656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</w:t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при формировании предложения участника закупки </w:t>
              <w:br/>
              <w:t xml:space="preserve">в отношении объекта закупки, предусмотренного пунктом 2 части 1 статьи 43 Федерального закона </w:t>
              <w:br/>
              <w:t xml:space="preserve">№ 44-ФЗ, с использованием электронной площадки формируются наименование страны прои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хождения товара, товарный знак (при наличии у товара товарного знака), а также характеристики предлагаемого участником закупки товара в части характеристик, содержащихся в извещении об осуществлении закупки в соответствии с пунктом 5 части 1 статьи 42 Феде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рального закона № 44-ФЗ.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В случае включения заказчиком в соответствии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с пунктом 8 части 1 статьи 33 Федерального закона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№ 44-ФЗ в описание объекта закупки проектной документации, или типовой документации, или сметы на капитальный ремонт объекта капитального строительства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, и при этом указания в описании объекта закупки информации о товаре, поставляемом заказчику при выполнении закупаемых работ,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указать: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а) наименование страны происхождения товара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в соответствии с общероссийским классификатором, используемым для идентификации стран мира.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Документы, подтверждающие соответствие товаров, работы или услуги требованиям, установленным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в соответствии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с законодательством Российской Федерации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требуются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В случае, если пунктом 22 извещения об осуществлении закупки установлен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перечень документов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подтверждающих соответствие товара, работы или услуги требованиям, установленным в соответствии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с законодательством Российской Федерации, в случае, если в соответствии с законодательством Российской Федерации установлены требования к товару, работе или услуге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, указать данный перечень в строгом соответствии с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 xml:space="preserve">пунктом 22 извещения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br/>
              <w:t xml:space="preserve">об осуществлении закупки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Иные информация и документы, в том числе эскиз, рисунок, чертеж, фотография, иное изображение предлагаемого участником закупки товара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В случае осуществления закупки работ, услуг,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при выполнении, оказании которых не предусмотрена поставка товаров, указать: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требую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тся.</w:t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В случае осуществления закупки товара, в том числе поставляемого заказчику при выполнении закупаемых работ, оказании закупаемых услуг, указать:</w:t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Заявка на участие в закупке может содержать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иные информацию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и документы, в том числе эскиз, рисунок, чертеж, фотография, иное изображение предлагаемого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участником закупки товара. При этом отсутствие таких информации и документов не является основанием для отклонения заявки на участие в закупке.</w:t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Информация и документы, предусмотренные нормативными правовыми актами, принятыми </w:t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в соответствии с частями 3 и 4 статьи 14 Федерального закона № 44-ФЗ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требуются.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 случае, если в извещении об осуществлении закупки установлены предусмотренные статьей 14 Федерального закона № 44-ФЗ запреты, ограничения, условия допуска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, указать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 в зависимости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от установленных в пункте 19 извещения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об осуществлении закупки условий допуска,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запретов и ограничений допуска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0" w:firstLine="193"/>
              <w:jc w:val="both"/>
              <w:spacing w:after="0" w:line="240" w:lineRule="auto"/>
              <w:widowControl w:val="off"/>
              <w:tabs>
                <w:tab w:val="left" w:pos="349" w:leader="none"/>
                <w:tab w:val="left" w:pos="491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–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в соответствии с приказом Минфина России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от 04.06.2018 № 126н «Об условиях допуска товаров, происходящих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нужд»: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tabs>
                <w:tab w:val="left" w:pos="349" w:leader="none"/>
                <w:tab w:val="left" w:pos="491" w:leader="none"/>
                <w:tab w:val="left" w:pos="655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– указание (декларирование) участником закупки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в заявке наименования страны происхождения товара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tabs>
                <w:tab w:val="left" w:pos="349" w:leader="none"/>
                <w:tab w:val="left" w:pos="491" w:leader="none"/>
                <w:tab w:val="left" w:pos="655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tabs>
                <w:tab w:val="left" w:pos="349" w:leader="none"/>
                <w:tab w:val="left" w:pos="491" w:leader="none"/>
                <w:tab w:val="left" w:pos="655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0" w:right="0" w:firstLine="193"/>
              <w:jc w:val="both"/>
              <w:spacing w:after="0" w:line="240" w:lineRule="auto"/>
              <w:widowControl w:val="off"/>
              <w:tabs>
                <w:tab w:val="left" w:pos="349" w:leader="none"/>
                <w:tab w:val="left" w:pos="491" w:leader="none"/>
                <w:tab w:val="left" w:pos="655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–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в соответствии с постановлением Правительства Российской Федерации от 10 июля 2019 г. № 878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в постановление Правительства Российской Федерации от 16 сентября 2016 г. № 925 и признании утратившими силу некоторых актов Правительства Российской Федерации» (далее – Постановление № 878)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для подтверждения соответствия радиоэлектронной продукции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требованиям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предусмотренным пунктом 3(2)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№ 878, участник закупки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указывает (декларирует)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в составе 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закупке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highlight w:val="white"/>
              </w:rPr>
              <w:t xml:space="preserve">–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номер реестровой записи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из единого реестра российской радиоэлектронной продукции (далее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реестр)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или </w:t>
            </w:r>
            <w:r>
              <w:rPr>
                <w:highlight w:val="white"/>
              </w:rPr>
            </w:r>
            <w:bookmarkStart w:id="0" w:name="undefined"/>
            <w:r>
              <w:rPr>
                <w:highlight w:val="white"/>
              </w:rPr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евразийского реестра промышленных товаров государств – членов Евразийского экономического союза, правила формирования и ведения которого устанавливаются правом Евразийского экономического союза (далее – евразийский реестр промышленных товаров)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tabs>
                <w:tab w:val="left" w:pos="349" w:leader="none"/>
                <w:tab w:val="left" w:pos="491" w:leader="none"/>
                <w:tab w:val="left" w:pos="655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из иностранного государства или группы иностранных государств, работ, услуг, соответственно выполняемых, оказываемых иностранными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лицами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</w:p>
          <w:p>
            <w:pPr>
              <w:ind w:left="193" w:firstLine="0"/>
              <w:spacing w:after="0"/>
              <w:widowControl w:val="off"/>
              <w:tabs>
                <w:tab w:val="left" w:pos="349" w:leader="none"/>
                <w:tab w:val="left" w:pos="491" w:leader="none"/>
              </w:tabs>
              <w:rPr>
                <w:highlight w:val="white"/>
              </w:rPr>
            </w:pPr>
            <w:r>
              <w:rPr>
                <w:highlight w:val="white"/>
                <w:u w:val="singl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tabs>
                <w:tab w:val="left" w:pos="349" w:leader="none"/>
                <w:tab w:val="left" w:pos="491" w:leader="none"/>
                <w:tab w:val="left" w:pos="655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в случае если в предмет одного контракта включена радиоэлектронная продукция, предусмотренная пунктами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5, 7-9, 13 (в части систем хранения данных) перечня радиоэлектронной продукции, происходящей </w:t>
              <w:br/>
              <w:t xml:space="preserve">из иностранных государств, в отношении которой устанавливаются ограничения для целей осуществления закупок для обеспечения государст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</w:rPr>
              <w:t xml:space="preserve">венных и муниципальных нужд, утвержденного постановлением Правительства Российской Федерации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</w:rPr>
              <w:t xml:space="preserve">от 10 июля </w:t>
              <w:br/>
              <w:t xml:space="preserve">2019 г. № 878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</w:rPr>
              <w:t xml:space="preserve">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</w:rPr>
              <w:t xml:space="preserve">в постановление Правительства Российской Федерации от 16 сентября 2016 г. № 925 и признании утратившими силу некоторых актов Правительства Российской Федерации»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</w:rPr>
              <w:t xml:space="preserve">, 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КАЗАТЬ:</w:t>
            </w:r>
            <w:r>
              <w:rPr>
                <w:highlight w:val="white"/>
              </w:rPr>
            </w:r>
          </w:p>
          <w:p>
            <w:pPr>
              <w:ind w:left="193" w:firstLine="0"/>
              <w:spacing w:after="0"/>
              <w:widowControl w:val="off"/>
              <w:tabs>
                <w:tab w:val="left" w:pos="349" w:leader="none"/>
                <w:tab w:val="left" w:pos="491" w:leader="none"/>
              </w:tabs>
              <w:rPr>
                <w:highlight w:val="white"/>
              </w:rPr>
            </w:pPr>
            <w:r>
              <w:rPr>
                <w:highlight w:val="white"/>
                <w:u w:val="single"/>
              </w:rPr>
            </w:r>
            <w:r>
              <w:rPr>
                <w:highlight w:val="white"/>
              </w:rPr>
            </w:r>
          </w:p>
          <w:p>
            <w:pPr>
              <w:ind w:left="0" w:firstLine="193"/>
              <w:jc w:val="both"/>
              <w:spacing w:after="0" w:line="240" w:lineRule="auto"/>
              <w:widowControl w:val="off"/>
              <w:tabs>
                <w:tab w:val="left" w:pos="349" w:leader="none"/>
                <w:tab w:val="left" w:pos="491" w:leader="none"/>
                <w:tab w:val="left" w:pos="655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в соответствии с постановлением Правительства Российской Федерации от 10 июля 2019 г. № 878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в постановление Правительства Российской Федерации от 16 сентября 2016 г. № 925 и признании утратившими силу некоторых актов Правительства Российской Федерации» (далее – Постановление № 878)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для подтверждения соответствия радиоэлектронной продукции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требованиям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предусмотренным пунктом 3(2)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№ 878, участник закупки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указывает (декларирует)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в составе 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закупке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0" w:firstLine="193"/>
              <w:jc w:val="both"/>
              <w:spacing w:after="0" w:line="240" w:lineRule="auto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highlight w:val="white"/>
              </w:rPr>
              <w:t xml:space="preserve">–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номер реестровой записи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из единого реестра российской радиоэлектронной продукции (дал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ее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реестр)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или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евразийского реестра промышленных товаров государств – чл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нов Евразийского экономического союза, правила формирования и ведения которого устанавливаются правом Евразийского экономического союза (далее – евразийский реестр промышленных товаров), </w:t>
              <w:br/>
              <w:t xml:space="preserve">а для целей подтверждения первого уровня радиоэлектронной продукции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– также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сведения </w:t>
              <w:br/>
              <w:t xml:space="preserve">о первом уровне радиоэлектронной продукции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tabs>
                <w:tab w:val="left" w:pos="349" w:leader="none"/>
                <w:tab w:val="left" w:pos="491" w:leader="none"/>
                <w:tab w:val="left" w:pos="655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из иностранного государства или группы иностранных государств, работ, услуг, соответственно выполняемых, оказываемых иностранными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лицами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tabs>
                <w:tab w:val="left" w:pos="349" w:leader="none"/>
                <w:tab w:val="left" w:pos="491" w:leader="none"/>
                <w:tab w:val="left" w:pos="655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afterAutospacing="0" w:line="240" w:lineRule="auto"/>
              <w:widowControl w:val="off"/>
              <w:tabs>
                <w:tab w:val="left" w:pos="349" w:leader="none"/>
                <w:tab w:val="left" w:pos="491" w:leader="none"/>
              </w:tabs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–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в соответствии с постановлением Правительства Российской Федерации от 30 апреля 2020 г. № 616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  <w:t xml:space="preserve">«Об установлении запрета на допуск промышленных товаров, происходящих из иностранных государств,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осуществления закупок для нужд обороны страны и безопасности государства» для подтверждения соответствия закупки промышленных товаров требованиям, установленным указанным постановлением, участник закупки указывает (декларирует) в составе заявки на участие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  <w:t xml:space="preserve">в закупке: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afterAutospacing="0" w:line="240" w:lineRule="auto"/>
              <w:tabs>
                <w:tab w:val="left" w:pos="349" w:leader="none"/>
                <w:tab w:val="left" w:pos="491" w:leader="none"/>
                <w:tab w:val="left" w:pos="655" w:leader="none"/>
              </w:tabs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highlight w:val="white"/>
              </w:rPr>
              <w:t xml:space="preserve">–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в отнош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ении товаров, страной происхождения которых является Российская Федерация,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номера реестровых записей из реестра промышленной продукции, произведенной на территории Российской Федерации (далее – реестр российской промышленной продукции), а также информацию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br/>
              <w:t xml:space="preserve">о совокупном количестве баллов за выполнение технологических операций (условий) на территории Российской Федерации (далее – совокупное количество баллов)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, если это предусмотрено постановлением Правител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ьства Российской Федерации от 17 июля 2015 г. № 719 «О подтверждении производства промышленной продукции на территории Российской Федерации» (для продукции, в отношении которой установлены требования о совокупном количестве баллов за выполнение (освоение)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br/>
              <w:t xml:space="preserve">на территории Российской Федерации соответствующих операций (условий);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afterAutospacing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– в отношении товаров, страной происхождения которых является государство – член Евразийского экономического союза, за исключением Российской Федерации,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номера реестровых записей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br/>
              <w:t xml:space="preserve">из евразийс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кого реестра промышленных товаров государств – членов Евразийского экономического союза, порядок формирования и ведения которого устанавливается правом Евразийского экономического союза (далее – евразийский реестр промышленных товаров), а также информацию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br/>
              <w:t xml:space="preserve">о совокупном количестве баллов за выполнение технологических операций (условий) на территории государства – члена Евразийского экономического союза (далее – совокупное количество баллов)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, если это предусмотрено решением Совета Евразийской экономической комиссии от 23 ноября 2020 г. № 105 «Об утверждении Правил определения страны происхождения отдельных видов товаров для целей государственных (муниципальных) закупок»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br/>
              <w:t xml:space="preserve">(для продукции, в отношении которой установлены требования о совокупном количестве баллов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br/>
              <w:t xml:space="preserve">за выполнение (освоение) на территории Евразийского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экономического союза соответствующих операций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(условий)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afterAutospacing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из иностранного государства или группы иностранных государств, работ, услуг, соответственно выполняемых, оказываемых иностранными лицами.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afterAutospacing="0" w:line="240" w:lineRule="auto"/>
              <w:tabs>
                <w:tab w:val="left" w:pos="349" w:leader="none"/>
                <w:tab w:val="left" w:pos="491" w:leader="none"/>
                <w:tab w:val="left" w:pos="655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или с указанием такого совокупного количества баллов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, не соответствующего требованиям, установленным для целей осуществления закупок постановлением Правительства Российской Федерации от 17 июля 2015 г. № 719 «О подтверждении производства промышленной продукции на территории Российской Федерации» или решение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м Совета Евразийской экономической комиссии от 23 ноября 2020 г. № 105 «Об утверждении Правил определения страны происхождения отдельных видов товаров для целей государственных (муниципальных) закупок» соответственно, такая заявка приравнивается к заявке,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br/>
              <w:t xml:space="preserve">в которой содержится предложение о поставке товаров, происходящих из иностранных государств.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afterAutospacing="0" w:line="240" w:lineRule="auto"/>
              <w:tabs>
                <w:tab w:val="left" w:pos="349" w:leader="none"/>
                <w:tab w:val="left" w:pos="491" w:leader="none"/>
                <w:tab w:val="left" w:pos="655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r>
            <w:r>
              <w:rPr>
                <w:highlight w:val="white"/>
              </w:rPr>
            </w:r>
          </w:p>
          <w:p>
            <w:pPr>
              <w:ind w:left="0" w:firstLine="193"/>
              <w:jc w:val="both"/>
              <w:spacing w:after="0" w:afterAutospacing="0" w:line="240" w:lineRule="auto"/>
              <w:widowControl w:val="off"/>
              <w:tabs>
                <w:tab w:val="left" w:pos="349" w:leader="none"/>
                <w:tab w:val="left" w:pos="491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–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в соответствии с постановлением Правительства Российской Федерации от 30 апреля 2020 г. № 617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  <w:t xml:space="preserve">«Об ограничениях допуска отдельных видов промышленных товаров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, происходящих из иностранных государств, для целей осуществления закупок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  <w:t xml:space="preserve">для обеспечения государственных и муниципальных нужд» подтверждением страны происхождения отдельных видов промышленных товаров является указание (декларирование) участником закупки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  <w:t xml:space="preserve">в составе заявки: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afterAutospacing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–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номеров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white"/>
              </w:rPr>
              <w:t xml:space="preserve">реестровых записей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</w:rPr>
              <w:t xml:space="preserve"> из реестра промышленной продукции, произведенной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</w:rPr>
              <w:br/>
              <w:t xml:space="preserve">на территории Российской Федерации (далее – реестр российской промышленной продукции)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или евразийского реестра промышленных товаров государств – членов Евразийского экономического союза, порядок формирования и ведения которого устанавливается правом Евразийского экономического союза (далее – евразийский реестр промышленных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товаров),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совокупного количества баллов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за выполнение технологических операций (условий)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на территории Российской Федерации, если это предусмотрено постановлением Правительства Российской Федерации от 17 июля 2015 г. № 719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«О подтверждении производства промышленной продукции на территории Российской Федерации»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(для продукции, в отношении которой установлены требования о совокупном количестве баллов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за выполнение (освоение) на территории Российской Федерации соответствующих операций (условий)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(при наличии) или совокупного количества баллов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за выполнение на территории государств – членов Евразийского экономического союза технологических операций (условий), если это предусмотрено решением Совета Евразийской экономической комиссии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от 23 ноября 2020 г. № 105 «Об утверждении Правил определения страны происхождения отдельных видов товаров для целей государственных (муниципальных) закупок» (для продукции, в отношении которой установлены требования о совокупном количестве баллов)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(при наличии)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afterAutospacing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из иностранного государства или группы иностранных государств, работ, услуг, соответственно выполняемых, оказываемых иностранными лицами.</w:t>
            </w:r>
            <w:r>
              <w:rPr>
                <w:rFonts w:ascii="Times New Roman" w:hAnsi="Times New Roman" w:cs="Times New Roman"/>
                <w:highlight w:val="white"/>
                <w:u w:val="singl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0" w:firstLine="193"/>
              <w:jc w:val="both"/>
              <w:spacing w:after="0" w:line="240" w:lineRule="auto"/>
              <w:widowControl w:val="off"/>
              <w:tabs>
                <w:tab w:val="left" w:pos="349" w:leader="none"/>
                <w:tab w:val="left" w:pos="491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–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с постановлением Правительства Российской Федерации от 22 августа 2016 г. № 832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  <w:t xml:space="preserve">«Об ограничениях допуска отдельных видов пищевых продуктов, происходящих из иностранных государств, для целей осуществления закупок для обеспечения государственных и муниципальных нужд»: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– указание (декларирование)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наименования страны происхождения и производителя пищевых продуктов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. Наименование страны происхождения товаров (пищевых продуктов) указывается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в соответствии с Общероссийским классификатором стран мира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Происхождение товаров из Донецкой Народной Республики, Луганской Народной Республики подтверждается сертификатами о происхождении товара, выдаваемыми уполномоченными органами (организациями) Донецкой Народной Республики, Луганской Народной Республики.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из иностранного государства или группы иностранных государств, работ, услуг, соответственно выполняемых, оказываемых иностранными лицами.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0" w:firstLine="193"/>
              <w:jc w:val="both"/>
              <w:spacing w:after="0" w:line="240" w:lineRule="auto"/>
              <w:widowControl w:val="off"/>
              <w:tabs>
                <w:tab w:val="left" w:pos="349" w:leader="none"/>
                <w:tab w:val="left" w:pos="491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–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в соответствии с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Правительства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  <w:u w:val="single"/>
              </w:rPr>
              <w:t xml:space="preserve">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от 16 ноября 2015 г. № 1236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«Об установлении запрета на допуск программного обеспечения, происходящего из иностранных государств, для целей осуществления закупок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br/>
              <w:t xml:space="preserve">для обеспечения государственных и муниципальных нужд»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(далее – Постановление № 1236)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– подтверждением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соответствия программ </w:t>
              <w:br/>
              <w:t xml:space="preserve">для электронных вычислительных машин и баз данных требованиям, установленным Постановлением № 1236, является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указание участником закупки в составе заявки на участие в закупке порядковых номеров реестровых записей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дином реестре российских программ для электронных вычислительных машин и баз данных или едином реестре программ </w:t>
              <w:br/>
              <w:t xml:space="preserve">для электронных вычислительных машин и баз данных из государств – членов Евразийского экономического союза, за исключением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highlight w:val="white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из иностранного государства или группы иностранных государств, работ, услуг, соответственно выполняемых, оказываемых иностранными лицами.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Инструкция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по заполнению заявки на участие в закупке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В случае осуществления закупки работ, услуг,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br/>
              <w:t xml:space="preserve">при выполнении, оказании которых не предусмотрена поставка товаров, указать: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Сведения, предусмотренные настоящим приложением, должны быть составлены на русском языке либо могут быть подготовлены на другом языке при условии,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что к ним будет прилагаться точный перевод на русский язык. Комиссия по осуществлению закупки вправе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рассматривать тексты, </w:t>
              <w:br/>
              <w:t xml:space="preserve">не переведенные на русский язык.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В случае осуществления закупки товара, в том числе поставляемого заказчику при выполнении закупаемых работ, оказании закупаемых услуг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, указать: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Сведения, предусмотренные настоящим приложением, должны быть составлены на русском языке либо могут быть подготовлены на другом языке при условии,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что к ним будет прилагаться точный перевод на русский язык. Комиссия по осуществлению закупки вправе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рассматривать тексты, </w:t>
              <w:br/>
              <w:t xml:space="preserve">не переведенные на русский язык.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При подаче заявки участником закупки </w:t>
              <w:br/>
              <w:t xml:space="preserve">на электронной площадке изменение наименований товаров и характеристик объекта закупки </w:t>
              <w:br/>
              <w:t xml:space="preserve">не допускается.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случае, если в описании объекта закупки </w:t>
              <w:br/>
              <w:t xml:space="preserve">в извещении об осуществлении закупки характеристики объекта закупки сопровождаются инструкцией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«Участник закупки указывает в заявке диапазон значений характеристики»,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участник закупки указывает в заявке на электронной площадке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диапазон значений характеристики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учитывая минимальное и/или максимальное значения, 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указанным </w:t>
              <w:br/>
              <w:t xml:space="preserve">в описании объекта закупки диапазоном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случае, если в описании объекта закупки </w:t>
              <w:br/>
              <w:t xml:space="preserve">в извещении об осуществлении закупки характеристики объекта закупки сопровождаются инструкцией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«Участник закупки указывает в заявке конкретное значение характеристики»,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участник закупки указывает в заявке на электронной площадке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конкретное значение характеристики в соответствии с указанными в описании объекта закупки значениями, учитывая заполненный </w:t>
              <w:br/>
              <w:t xml:space="preserve">в описании объекта закупки диапазон (при наличии).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случае, если в описании объекта закупки </w:t>
              <w:br/>
              <w:t xml:space="preserve">в извещении об осуществлении закупки характеристики объекта закупки сопровождаются инструкцией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«Участник закупки указывает в заявке только одно значение характеристики»,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участник закупки указывает в заявке на электронной площадке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одно значение характеристики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(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неизменном виде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из значений, предусмотренных описанием объекта закупки.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случае, если в описании объекта закупки </w:t>
              <w:br/>
              <w:t xml:space="preserve">в извещении об осуществлении закупки характеристики объекта закупки сопровождаются инструкцией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«Участник закупки указывает в заявке одно или несколько значений характеристики»,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участник закупки указывает в заявке на электронной площадке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одно или более значений характеристики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(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неизменном виде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из значений, предусмотренных описанием объекта закупки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случае, если в описании объекта закупки </w:t>
              <w:br/>
              <w:t xml:space="preserve">в извещении об осуществлении закупки характеристики объекта закупки сопровождаются инструкцией 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Участник закупки указывает в заявке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все значения характеристики», участник закупки указывает в заявке на электронной площадке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все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значения характеристики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(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неизменном виде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описанием объекта закупки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случае, если в описании объекта закупки </w:t>
              <w:br/>
              <w:t xml:space="preserve">в извещении об осуществлении закупки характеристики объекта закупки сопровождаются инструкцией 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Значение характеристики не может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изменяться участником закупки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», участник закупки указывает </w:t>
              <w:br/>
              <w:t xml:space="preserve">в заявке на электронной площадке предусмотренное описанием объекта закупки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значение характеристики </w:t>
              <w:br/>
              <w:t xml:space="preserve">в неизменном виде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tabs>
                <w:tab w:val="num" w:pos="227" w:leader="none"/>
              </w:tabs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Предоставляемые участником электронного аукциона сведения не должны допускать разночтения или двусмысленное толкование.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tabs>
                <w:tab w:val="left" w:pos="1080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При подаче сведений участниками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электронного аукциона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должны применяться обозначения (единицы измерения, наименования и значения характеристик) </w:t>
              <w:br/>
              <w:t xml:space="preserve">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 обозначениями, указанными </w:t>
              <w:br/>
              <w:t xml:space="preserve">в описании объекта закупки в извещении </w:t>
              <w:br/>
              <w:t xml:space="preserve">об осуществлении закупки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tabs>
                <w:tab w:val="left" w:pos="1080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 заявке должны применяться общепринятые, в том числе математические, обозначения (знаки, буквы и сокращения), единицы измерения и наименования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br/>
              <w:t xml:space="preserve">в соответствии с требованиями действующих нормативных правовых актов. Знаки препинания (в том числе запятая, точка, точка с запятой и т.д.) применяются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br/>
              <w:t xml:space="preserve">в соответствии с общепринятыми правилами русского языка.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tabs>
                <w:tab w:val="left" w:pos="1080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Эквивалентность предлагаемого товара будет устанавливаться по всем характеристикам и их значениям, указанным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описании объекта закупки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в извещении об осуществлении закупки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spacing w:after="0" w:line="240" w:lineRule="auto"/>
              <w:widowControl w:val="off"/>
              <w:tabs>
                <w:tab w:val="left" w:pos="1080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случае, если инструкция по заполнению характеристик в заявке предусматривает указание </w:t>
              <w:br/>
              <w:t xml:space="preserve">в заявке конкретного значения характеристики, такое конкретное значение не должно содержать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  <w:lang w:eastAsia="ru-RU"/>
              </w:rPr>
              <w:t xml:space="preserve">математические символы «&gt;», «&lt;» «≥», «≤»,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  <w:lang w:eastAsia="ru-RU"/>
              </w:rPr>
              <w:t xml:space="preserve">слова </w:t>
              <w:br/>
              <w:t xml:space="preserve">«не ниже», «не выше», «не более», «не менее» и т.д.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  <w:lang w:eastAsia="ru-RU"/>
              </w:rPr>
              <w:t xml:space="preserve"> и позволять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определить соответствие предлагаемого участником закупки товара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  <w:lang w:eastAsia="ru-RU"/>
              </w:rPr>
              <w:t xml:space="preserve"> описанию объекта закупки </w:t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извещении об осуществлении закупки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  <w:lang w:eastAsia="ru-RU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spacing w:after="0" w:line="240" w:lineRule="exact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highlight w:val="white"/>
        </w:rPr>
      </w:r>
    </w:p>
    <w:p>
      <w:pPr>
        <w:spacing w:after="0" w:line="240" w:lineRule="exact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highlight w:val="white"/>
        </w:rPr>
      </w:r>
    </w:p>
    <w:p>
      <w:pPr>
        <w:spacing w:after="0" w:line="240" w:lineRule="exact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highlight w:val="white"/>
        </w:rPr>
      </w:r>
    </w:p>
    <w:p>
      <w:pPr>
        <w:spacing w:after="0" w:afterAutospacing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Должность </w:t>
      </w: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</w:rPr>
      </w:r>
    </w:p>
    <w:p>
      <w:pPr>
        <w:spacing w:after="0" w:afterAutospacing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руководителя заказчика          ______________________              И.О. Фамилия</w:t>
      </w: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afterAutospacing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highlight w:val="white"/>
        </w:rPr>
        <w:t xml:space="preserve">                </w:t>
      </w:r>
      <w:r>
        <w:rPr>
          <w:rFonts w:ascii="Times New Roman" w:hAnsi="Times New Roman" w:cs="Times New Roman"/>
          <w:color w:val="000000"/>
          <w:highlight w:val="white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afterAutospacing="0" w:line="240" w:lineRule="exact"/>
        <w:rPr>
          <w:rFonts w:ascii="Times New Roman" w:hAnsi="Times New Roman" w:cs="Times New Roman"/>
          <w:color w:val="000000"/>
          <w:sz w:val="20"/>
          <w:szCs w:val="20"/>
          <w:highlight w:val="white"/>
        </w:rPr>
      </w:pPr>
      <w:r>
        <w:rPr>
          <w:rFonts w:ascii="Times New Roman" w:hAnsi="Times New Roman" w:cs="Times New Roman"/>
          <w:color w:val="000000"/>
          <w:sz w:val="20"/>
          <w:szCs w:val="20"/>
          <w:highlight w:val="none"/>
        </w:rPr>
        <w:t xml:space="preserve">               </w:t>
      </w:r>
      <w:r>
        <w:rPr>
          <w:rFonts w:ascii="Times New Roman" w:hAnsi="Times New Roman" w:cs="Times New Roman"/>
          <w:color w:val="000000"/>
          <w:sz w:val="20"/>
          <w:szCs w:val="20"/>
          <w:highlight w:val="white"/>
        </w:rPr>
        <w:t xml:space="preserve">(подпись)</w:t>
      </w:r>
      <w:r>
        <w:rPr>
          <w:rFonts w:ascii="Times New Roman" w:hAnsi="Times New Roman" w:cs="Times New Roman"/>
          <w:sz w:val="20"/>
          <w:szCs w:val="20"/>
          <w:highlight w:val="white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exact"/>
        <w:widowControl w:val="off"/>
        <w:rPr>
          <w:rFonts w:ascii="Times New Roman" w:hAnsi="Times New Roman" w:eastAsia="Times New Roman" w:cs="Times New Roman"/>
          <w:color w:val="000000"/>
          <w:sz w:val="20"/>
          <w:szCs w:val="20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highlight w:val="white"/>
        </w:rPr>
      </w:r>
      <w:r>
        <w:rPr>
          <w:highlight w:val="white"/>
        </w:rPr>
      </w:r>
    </w:p>
    <w:sectPr>
      <w:headerReference w:type="default" r:id="rId9"/>
      <w:footnotePr/>
      <w:endnotePr/>
      <w:type w:val="nextPage"/>
      <w:pgSz w:w="11905" w:h="16838" w:orient="portrait"/>
      <w:pgMar w:top="1418" w:right="567" w:bottom="1134" w:left="1985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68"/>
        <w:jc w:val="both"/>
        <w:rPr>
          <w:rFonts w:ascii="Times New Roman" w:hAnsi="Times New Roman" w:cs="Times New Roman"/>
          <w:i/>
        </w:rPr>
      </w:pPr>
      <w:r>
        <w:rPr>
          <w:rStyle w:val="870"/>
          <w:rFonts w:ascii="Times New Roman" w:hAnsi="Times New Roman" w:cs="Times New Roman"/>
          <w:i/>
        </w:rPr>
        <w:footnoteRef/>
      </w:r>
      <w:r>
        <w:rPr>
          <w:rFonts w:ascii="Times New Roman" w:hAnsi="Times New Roman" w:cs="Times New Roman"/>
          <w:i/>
        </w:rPr>
        <w:t xml:space="preserve"> Курсивом указаны рекомендации по заполнению приложения, которые при заполнении необходимо удалить.</w:t>
      </w:r>
      <w:r/>
    </w:p>
  </w:footnote>
  <w:footnote w:id="3">
    <w:p>
      <w:pPr>
        <w:pStyle w:val="868"/>
        <w:rPr>
          <w:rFonts w:ascii="Times New Roman" w:hAnsi="Times New Roman" w:cs="Times New Roman"/>
          <w:i/>
        </w:rPr>
      </w:pPr>
      <w:r>
        <w:rPr>
          <w:rStyle w:val="87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Не заполняется заказчиком. Реестровый номер закупки будет указан уполномоченным органом.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0972530"/>
      <w:docPartObj>
        <w:docPartGallery w:val="Page Numbers (Top of Page)"/>
        <w:docPartUnique w:val="true"/>
      </w:docPartObj>
      <w:rPr/>
    </w:sdtPr>
    <w:sdtContent>
      <w:p>
        <w:pPr>
          <w:pStyle w:val="86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12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7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9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1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3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5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7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9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1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35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7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9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1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3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5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7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9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1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35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7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9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1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3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5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7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9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1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35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7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9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1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3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5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7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9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1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35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7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9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1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3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5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7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9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1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35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7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9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1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3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5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7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9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1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35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7">
    <w:name w:val="Heading 1"/>
    <w:basedOn w:val="860"/>
    <w:next w:val="860"/>
    <w:link w:val="68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8">
    <w:name w:val="Heading 1 Char"/>
    <w:basedOn w:val="861"/>
    <w:link w:val="687"/>
    <w:uiPriority w:val="9"/>
    <w:rPr>
      <w:rFonts w:ascii="Arial" w:hAnsi="Arial" w:eastAsia="Arial" w:cs="Arial"/>
      <w:sz w:val="40"/>
      <w:szCs w:val="40"/>
    </w:rPr>
  </w:style>
  <w:style w:type="paragraph" w:styleId="689">
    <w:name w:val="Heading 2"/>
    <w:basedOn w:val="860"/>
    <w:next w:val="860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0">
    <w:name w:val="Heading 2 Char"/>
    <w:basedOn w:val="861"/>
    <w:link w:val="689"/>
    <w:uiPriority w:val="9"/>
    <w:rPr>
      <w:rFonts w:ascii="Arial" w:hAnsi="Arial" w:eastAsia="Arial" w:cs="Arial"/>
      <w:sz w:val="34"/>
    </w:rPr>
  </w:style>
  <w:style w:type="paragraph" w:styleId="691">
    <w:name w:val="Heading 3"/>
    <w:basedOn w:val="860"/>
    <w:next w:val="860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2">
    <w:name w:val="Heading 3 Char"/>
    <w:basedOn w:val="861"/>
    <w:link w:val="691"/>
    <w:uiPriority w:val="9"/>
    <w:rPr>
      <w:rFonts w:ascii="Arial" w:hAnsi="Arial" w:eastAsia="Arial" w:cs="Arial"/>
      <w:sz w:val="30"/>
      <w:szCs w:val="30"/>
    </w:rPr>
  </w:style>
  <w:style w:type="paragraph" w:styleId="693">
    <w:name w:val="Heading 4"/>
    <w:basedOn w:val="860"/>
    <w:next w:val="860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4">
    <w:name w:val="Heading 4 Char"/>
    <w:basedOn w:val="861"/>
    <w:link w:val="693"/>
    <w:uiPriority w:val="9"/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860"/>
    <w:next w:val="860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6">
    <w:name w:val="Heading 5 Char"/>
    <w:basedOn w:val="861"/>
    <w:link w:val="695"/>
    <w:uiPriority w:val="9"/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860"/>
    <w:next w:val="860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8">
    <w:name w:val="Heading 6 Char"/>
    <w:basedOn w:val="861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basedOn w:val="860"/>
    <w:next w:val="860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7 Char"/>
    <w:basedOn w:val="861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860"/>
    <w:next w:val="860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2">
    <w:name w:val="Heading 8 Char"/>
    <w:basedOn w:val="861"/>
    <w:link w:val="701"/>
    <w:uiPriority w:val="9"/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860"/>
    <w:next w:val="860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>
    <w:name w:val="Heading 9 Char"/>
    <w:basedOn w:val="861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0"/>
    <w:next w:val="860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basedOn w:val="861"/>
    <w:link w:val="706"/>
    <w:uiPriority w:val="10"/>
    <w:rPr>
      <w:sz w:val="48"/>
      <w:szCs w:val="48"/>
    </w:rPr>
  </w:style>
  <w:style w:type="paragraph" w:styleId="708">
    <w:name w:val="Subtitle"/>
    <w:basedOn w:val="860"/>
    <w:next w:val="860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basedOn w:val="861"/>
    <w:link w:val="708"/>
    <w:uiPriority w:val="11"/>
    <w:rPr>
      <w:sz w:val="24"/>
      <w:szCs w:val="24"/>
    </w:rPr>
  </w:style>
  <w:style w:type="paragraph" w:styleId="710">
    <w:name w:val="Quote"/>
    <w:basedOn w:val="860"/>
    <w:next w:val="860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0"/>
    <w:next w:val="860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character" w:styleId="714">
    <w:name w:val="Header Char"/>
    <w:basedOn w:val="861"/>
    <w:link w:val="864"/>
    <w:uiPriority w:val="99"/>
  </w:style>
  <w:style w:type="character" w:styleId="715">
    <w:name w:val="Footer Char"/>
    <w:basedOn w:val="861"/>
    <w:link w:val="866"/>
    <w:uiPriority w:val="99"/>
  </w:style>
  <w:style w:type="paragraph" w:styleId="716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866"/>
    <w:uiPriority w:val="99"/>
  </w:style>
  <w:style w:type="table" w:styleId="718">
    <w:name w:val="Table Grid"/>
    <w:basedOn w:val="86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8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9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0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1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2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3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2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6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character" w:styleId="845">
    <w:name w:val="Footnote Text Char"/>
    <w:link w:val="868"/>
    <w:uiPriority w:val="99"/>
    <w:rPr>
      <w:sz w:val="18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861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qFormat/>
  </w:style>
  <w:style w:type="character" w:styleId="861" w:default="1">
    <w:name w:val="Default Paragraph Font"/>
    <w:uiPriority w:val="1"/>
    <w:semiHidden/>
    <w:unhideWhenUsed/>
  </w:style>
  <w:style w:type="table" w:styleId="8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3" w:default="1">
    <w:name w:val="No List"/>
    <w:uiPriority w:val="99"/>
    <w:semiHidden/>
    <w:unhideWhenUsed/>
  </w:style>
  <w:style w:type="paragraph" w:styleId="864">
    <w:name w:val="Header"/>
    <w:basedOn w:val="860"/>
    <w:link w:val="86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5" w:customStyle="1">
    <w:name w:val="Верхний колонтитул Знак"/>
    <w:basedOn w:val="861"/>
    <w:link w:val="864"/>
    <w:uiPriority w:val="99"/>
  </w:style>
  <w:style w:type="paragraph" w:styleId="866">
    <w:name w:val="Footer"/>
    <w:basedOn w:val="860"/>
    <w:link w:val="8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7" w:customStyle="1">
    <w:name w:val="Нижний колонтитул Знак"/>
    <w:basedOn w:val="861"/>
    <w:link w:val="866"/>
    <w:uiPriority w:val="99"/>
  </w:style>
  <w:style w:type="paragraph" w:styleId="868">
    <w:name w:val="footnote text"/>
    <w:basedOn w:val="860"/>
    <w:link w:val="869"/>
    <w:semiHidden/>
    <w:unhideWhenUsed/>
    <w:pPr>
      <w:spacing w:after="0" w:line="240" w:lineRule="auto"/>
    </w:pPr>
    <w:rPr>
      <w:sz w:val="20"/>
      <w:szCs w:val="20"/>
    </w:rPr>
  </w:style>
  <w:style w:type="character" w:styleId="869" w:customStyle="1">
    <w:name w:val="Текст сноски Знак"/>
    <w:basedOn w:val="861"/>
    <w:link w:val="868"/>
    <w:semiHidden/>
    <w:rPr>
      <w:sz w:val="20"/>
      <w:szCs w:val="20"/>
    </w:rPr>
  </w:style>
  <w:style w:type="character" w:styleId="870">
    <w:name w:val="footnote reference"/>
    <w:uiPriority w:val="99"/>
    <w:semiHidden/>
    <w:rPr>
      <w:vertAlign w:val="superscript"/>
    </w:rPr>
  </w:style>
  <w:style w:type="paragraph" w:styleId="871">
    <w:name w:val="Normal (Web)"/>
    <w:basedOn w:val="86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2">
    <w:name w:val="List Paragraph"/>
    <w:basedOn w:val="860"/>
    <w:link w:val="873"/>
    <w:uiPriority w:val="34"/>
    <w:qFormat/>
    <w:pPr>
      <w:contextualSpacing/>
      <w:ind w:left="720"/>
      <w:jc w:val="both"/>
      <w:spacing w:after="6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3" w:customStyle="1">
    <w:name w:val="Абзац списка Знак"/>
    <w:link w:val="872"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4">
    <w:name w:val="Balloon Text"/>
    <w:basedOn w:val="860"/>
    <w:link w:val="87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5" w:customStyle="1">
    <w:name w:val="Текст выноски Знак"/>
    <w:basedOn w:val="861"/>
    <w:link w:val="87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49A61B05DCF29D4870CE573AB4B8D14DAF29EF9ECD8695D84A965932B3F28FC686A4F0CE32CE18A18D3F42DF5786CAA76A4F2A656DOFjC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204D7-961C-46DA-B30B-0EB7F1EB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Р7-Офис/7.2.2.40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Дерновая Татьяна Олеговна</dc:creator>
  <cp:keywords/>
  <dc:description/>
  <cp:revision>25</cp:revision>
  <dcterms:created xsi:type="dcterms:W3CDTF">2022-01-12T06:35:00Z</dcterms:created>
  <dcterms:modified xsi:type="dcterms:W3CDTF">2024-01-11T12:15:07Z</dcterms:modified>
</cp:coreProperties>
</file>