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387"/>
        <w:spacing w:line="238" w:lineRule="exac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Приложение 4</w:t>
      </w:r>
      <w:r>
        <w:rPr>
          <w:highlight w:val="white"/>
        </w:rPr>
      </w:r>
      <w:r/>
    </w:p>
    <w:p>
      <w:pPr>
        <w:ind w:left="5387"/>
        <w:spacing w:line="238" w:lineRule="exact"/>
        <w:widowControl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к извещению об осуществлении закупки путем проведения электронного аукциона</w:t>
      </w:r>
      <w:r>
        <w:rPr>
          <w:highlight w:val="white"/>
        </w:rPr>
      </w:r>
      <w:r/>
    </w:p>
    <w:p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jc w:val="center"/>
        <w:tabs>
          <w:tab w:val="left" w:pos="1080" w:leader="none"/>
        </w:tabs>
        <w:rPr>
          <w:b/>
          <w:sz w:val="28"/>
          <w:szCs w:val="28"/>
          <w:highlight w:val="white"/>
        </w:rPr>
        <w:outlineLvl w:val="0"/>
      </w:pPr>
      <w:r>
        <w:rPr>
          <w:b/>
          <w:sz w:val="28"/>
          <w:szCs w:val="28"/>
          <w:highlight w:val="white"/>
        </w:rPr>
        <w:t xml:space="preserve">ПРОЕКТ КОНТРАКТА</w:t>
      </w:r>
      <w:r>
        <w:rPr>
          <w:highlight w:val="white"/>
        </w:rPr>
      </w:r>
      <w:r/>
    </w:p>
    <w:p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jc w:val="center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Реес</w:t>
      </w:r>
      <w:r>
        <w:rPr>
          <w:b/>
          <w:sz w:val="28"/>
          <w:szCs w:val="28"/>
          <w:highlight w:val="white"/>
        </w:rPr>
        <w:t xml:space="preserve">тровый номер закупки: № __-ЭА/</w:t>
      </w:r>
      <w:r>
        <w:rPr>
          <w:b/>
          <w:sz w:val="28"/>
          <w:szCs w:val="28"/>
          <w:highlight w:val="white"/>
        </w:rPr>
        <w:t xml:space="preserve">24</w:t>
      </w:r>
      <w:r>
        <w:rPr>
          <w:highlight w:val="white"/>
        </w:rPr>
      </w:r>
      <w:r/>
    </w:p>
    <w:p>
      <w:pPr>
        <w:jc w:val="center"/>
        <w:rPr>
          <w:sz w:val="28"/>
          <w:szCs w:val="28"/>
          <w:highlight w:val="white"/>
        </w:rPr>
      </w:pPr>
      <w:r>
        <w:rPr>
          <w:sz w:val="18"/>
          <w:szCs w:val="18"/>
          <w:highlight w:val="white"/>
        </w:rPr>
        <w:t xml:space="preserve">(в системе нумерации уполномоченного органа)</w:t>
      </w:r>
      <w:r>
        <w:rPr>
          <w:sz w:val="18"/>
          <w:szCs w:val="18"/>
          <w:highlight w:val="white"/>
          <w:vertAlign w:val="superscript"/>
        </w:rPr>
        <w:footnoteReference w:id="2"/>
      </w:r>
      <w:r>
        <w:rPr>
          <w:highlight w:val="white"/>
        </w:rPr>
      </w:r>
      <w:r/>
    </w:p>
    <w:p>
      <w:pPr>
        <w:pStyle w:val="861"/>
        <w:numPr>
          <w:ilvl w:val="0"/>
          <w:numId w:val="0"/>
        </w:numPr>
        <w:jc w:val="center"/>
        <w:spacing w:after="0"/>
        <w:tabs>
          <w:tab w:val="left" w:pos="0" w:leader="none"/>
        </w:tabs>
        <w:rPr>
          <w:sz w:val="20"/>
          <w:highlight w:val="white"/>
        </w:rPr>
      </w:pPr>
      <w:r>
        <w:rPr>
          <w:sz w:val="20"/>
          <w:highlight w:val="white"/>
        </w:rPr>
      </w:r>
      <w:r>
        <w:rPr>
          <w:highlight w:val="white"/>
        </w:rPr>
      </w:r>
      <w:r/>
    </w:p>
    <w:p>
      <w:pPr>
        <w:jc w:val="center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  <w:lang w:eastAsia="ar-SA"/>
        </w:rPr>
        <w:t xml:space="preserve">Контракт № ___</w:t>
      </w:r>
      <w:r>
        <w:rPr>
          <w:rStyle w:val="858"/>
          <w:b/>
          <w:bCs/>
          <w:sz w:val="28"/>
          <w:szCs w:val="28"/>
          <w:highlight w:val="white"/>
          <w:lang w:eastAsia="ar-SA"/>
        </w:rPr>
        <w:footnoteReference w:id="3"/>
      </w:r>
      <w:r>
        <w:rPr>
          <w:highlight w:val="white"/>
        </w:rPr>
      </w:r>
      <w:r/>
    </w:p>
    <w:p>
      <w:pPr>
        <w:ind w:firstLine="720"/>
        <w:jc w:val="center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  <w:lang w:eastAsia="ar-SA"/>
        </w:rPr>
      </w:r>
      <w:r>
        <w:rPr>
          <w:highlight w:val="white"/>
        </w:rPr>
      </w:r>
      <w:r/>
    </w:p>
    <w:p>
      <w:pPr>
        <w:ind w:firstLine="709"/>
        <w:jc w:val="both"/>
        <w:tabs>
          <w:tab w:val="center" w:pos="4897" w:leader="none"/>
          <w:tab w:val="left" w:pos="8295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Контракт должен содержать следующие</w:t>
      </w:r>
      <w:r>
        <w:rPr>
          <w:sz w:val="28"/>
          <w:szCs w:val="28"/>
          <w:highlight w:val="white"/>
        </w:rPr>
        <w:t xml:space="preserve"> информацию,</w:t>
      </w:r>
      <w:r>
        <w:rPr>
          <w:sz w:val="28"/>
          <w:szCs w:val="28"/>
          <w:highlight w:val="white"/>
        </w:rPr>
        <w:t xml:space="preserve"> условия</w:t>
      </w:r>
      <w:r>
        <w:rPr>
          <w:sz w:val="28"/>
          <w:szCs w:val="28"/>
          <w:highlight w:val="white"/>
        </w:rPr>
        <w:t xml:space="preserve"> и требования </w:t>
      </w:r>
      <w:r>
        <w:rPr>
          <w:sz w:val="28"/>
          <w:szCs w:val="28"/>
          <w:highlight w:val="white"/>
        </w:rPr>
        <w:t xml:space="preserve">с учетом действующего законодательства Российской Федерации о контрактной системе в сфере закупок </w:t>
      </w:r>
      <w:r>
        <w:rPr>
          <w:sz w:val="28"/>
          <w:szCs w:val="28"/>
          <w:highlight w:val="white"/>
        </w:rPr>
        <w:t xml:space="preserve">(данные сведения должны соответствовать извещению об осуществлении закупки</w:t>
      </w:r>
      <w:r>
        <w:rPr>
          <w:sz w:val="28"/>
          <w:szCs w:val="28"/>
          <w:highlight w:val="white"/>
        </w:rPr>
        <w:t xml:space="preserve">)</w:t>
      </w:r>
      <w:r>
        <w:rPr>
          <w:sz w:val="28"/>
          <w:szCs w:val="28"/>
          <w:highlight w:val="white"/>
        </w:rPr>
        <w:t xml:space="preserve">:</w:t>
      </w:r>
      <w:r>
        <w:rPr>
          <w:highlight w:val="white"/>
        </w:rPr>
      </w:r>
      <w:r/>
    </w:p>
    <w:p>
      <w:pPr>
        <w:ind w:firstLine="709"/>
        <w:jc w:val="both"/>
        <w:widowControl/>
        <w:rPr>
          <w:rFonts w:eastAsiaTheme="minorHAns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– </w:t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наименование, место нахождения, почтовый адрес, адрес электронной почты, номер контактного телефона, ответственное должностное лицо заказчика;</w:t>
      </w:r>
      <w:r>
        <w:rPr>
          <w:highlight w:val="white"/>
        </w:rPr>
      </w:r>
      <w:r/>
    </w:p>
    <w:p>
      <w:pPr>
        <w:ind w:firstLine="709"/>
        <w:jc w:val="both"/>
        <w:tabs>
          <w:tab w:val="center" w:pos="4897" w:leader="none"/>
          <w:tab w:val="left" w:pos="8295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– идентификационный код закупки (в связи с тем, что в соответствии </w:t>
      </w:r>
      <w:r>
        <w:rPr>
          <w:sz w:val="28"/>
          <w:szCs w:val="28"/>
          <w:highlight w:val="white"/>
        </w:rPr>
        <w:br/>
        <w:t xml:space="preserve">с пунктом 9 Порядка формирования идентификационного кода закупки, утвержденного приказом Минфина России от 10.04.2019 № 55н, значения </w:t>
      </w:r>
      <w:r>
        <w:rPr>
          <w:sz w:val="28"/>
          <w:szCs w:val="28"/>
          <w:highlight w:val="white"/>
        </w:rPr>
        <w:br/>
        <w:t xml:space="preserve">в 27-29 разрядах указанного в плане-графике идентификационного кода закупки, соответствующие порядковому номеру, сформированному </w:t>
      </w:r>
      <w:r>
        <w:rPr>
          <w:sz w:val="28"/>
          <w:szCs w:val="28"/>
          <w:highlight w:val="white"/>
        </w:rPr>
        <w:br/>
        <w:t xml:space="preserve">в пределах номера, указанного в 23-26 разрядах указанного в плане-графике идентификационного кода закупки, будут присвоены на этапе размещения извещения </w:t>
      </w:r>
      <w:r>
        <w:rPr>
          <w:sz w:val="28"/>
          <w:szCs w:val="28"/>
          <w:highlight w:val="white"/>
        </w:rPr>
        <w:t xml:space="preserve">об осуществлении закупки</w:t>
      </w:r>
      <w:r>
        <w:rPr>
          <w:sz w:val="28"/>
          <w:szCs w:val="28"/>
          <w:highlight w:val="white"/>
        </w:rPr>
        <w:t xml:space="preserve"> с использованием единой информационной системы, в проекте контракта рекомендуется указывать «ИКЗ ___________________»);</w:t>
      </w:r>
      <w:r>
        <w:rPr>
          <w:highlight w:val="white"/>
        </w:rPr>
      </w:r>
      <w:r/>
    </w:p>
    <w:p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– указание на соответствующую часть статьи 15 Федерального закона № 44-ФЗ, в соответствии с которой осуществляется закупка </w:t>
      </w:r>
      <w:r>
        <w:rPr>
          <w:sz w:val="28"/>
          <w:szCs w:val="28"/>
          <w:highlight w:val="white"/>
        </w:rPr>
        <w:br/>
        <w:t xml:space="preserve">(при осуществлении закупки в соответствии с частями 4-6 статьи 15 Федерального закона № 44-ФЗ);</w:t>
      </w:r>
      <w:r>
        <w:rPr>
          <w:highlight w:val="white"/>
        </w:rPr>
      </w:r>
      <w:r/>
    </w:p>
    <w:p>
      <w:pPr>
        <w:ind w:firstLine="709"/>
        <w:jc w:val="both"/>
        <w:rPr>
          <w:rFonts w:eastAsiaTheme="minorHAnsi"/>
          <w:sz w:val="28"/>
          <w:szCs w:val="28"/>
          <w:highlight w:val="white"/>
        </w:rPr>
      </w:pPr>
      <w:r>
        <w:rPr>
          <w:rFonts w:eastAsiaTheme="minorHAnsi"/>
          <w:sz w:val="28"/>
          <w:szCs w:val="28"/>
          <w:highlight w:val="white"/>
          <w:lang w:eastAsia="en-US"/>
        </w:rPr>
        <w:t xml:space="preserve">– наименование объекта закупки, информация (при наличии), предусмотренная правилами использования каталога товаров, работ, услуг </w:t>
      </w:r>
      <w:r>
        <w:rPr>
          <w:rFonts w:eastAsiaTheme="minorHAnsi"/>
          <w:sz w:val="28"/>
          <w:szCs w:val="28"/>
          <w:highlight w:val="white"/>
          <w:lang w:eastAsia="en-US"/>
        </w:rPr>
        <w:br/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для обеспечения государственных и муниципальных нужд, установленными </w:t>
      </w:r>
      <w:r>
        <w:rPr>
          <w:rFonts w:eastAsiaTheme="minorHAnsi"/>
          <w:sz w:val="28"/>
          <w:szCs w:val="28"/>
          <w:highlight w:val="white"/>
          <w:lang w:eastAsia="en-US"/>
        </w:rPr>
        <w:br/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в соответствии с частью 6 статьи 23 Федерального закона № 44-ФЗ;</w:t>
      </w:r>
      <w:r>
        <w:rPr>
          <w:highlight w:val="white"/>
        </w:rPr>
      </w:r>
      <w:r/>
    </w:p>
    <w:p>
      <w:pPr>
        <w:ind w:firstLine="709"/>
        <w:jc w:val="both"/>
        <w:rPr>
          <w:rFonts w:eastAsiaTheme="minorHAnsi"/>
          <w:sz w:val="28"/>
          <w:szCs w:val="28"/>
          <w:highlight w:val="white"/>
        </w:rPr>
      </w:pPr>
      <w:r>
        <w:rPr>
          <w:rFonts w:eastAsiaTheme="minorHAnsi"/>
          <w:sz w:val="28"/>
          <w:szCs w:val="28"/>
          <w:highlight w:val="white"/>
          <w:lang w:eastAsia="en-US"/>
        </w:rPr>
        <w:t xml:space="preserve">– </w:t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информация о том, что количество поставляемых товаров невозможно определить</w:t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, единице измерения и месте поставки товара (при осуществлении закупки товара, в том числе поставляемого заказчику при выполнении закупаемых работ, оказании закупаемых услуг);</w:t>
      </w:r>
      <w:r>
        <w:rPr>
          <w:highlight w:val="white"/>
        </w:rPr>
      </w:r>
      <w:r/>
    </w:p>
    <w:p>
      <w:pPr>
        <w:ind w:firstLine="709"/>
        <w:jc w:val="both"/>
        <w:rPr>
          <w:rFonts w:eastAsiaTheme="minorHAnsi"/>
          <w:sz w:val="28"/>
          <w:szCs w:val="28"/>
          <w:highlight w:val="white"/>
        </w:rPr>
      </w:pPr>
      <w:r>
        <w:rPr>
          <w:rFonts w:eastAsiaTheme="minorHAnsi"/>
          <w:sz w:val="28"/>
          <w:szCs w:val="28"/>
          <w:highlight w:val="white"/>
          <w:lang w:eastAsia="en-US"/>
        </w:rPr>
        <w:t xml:space="preserve">– информация </w:t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о том, что объем подлежащих выполнению работ, оказанию услуг невозможно определить</w:t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,</w:t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 о единице измерения (при наличии) </w:t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и месте выполнения работы или оказания услуги</w:t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 (при осуществлении закупки работы или услуги)</w:t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;</w:t>
      </w:r>
      <w:r>
        <w:rPr>
          <w:highlight w:val="white"/>
        </w:rPr>
      </w:r>
      <w:r/>
    </w:p>
    <w:p>
      <w:pPr>
        <w:ind w:firstLine="709"/>
        <w:jc w:val="both"/>
        <w:rPr>
          <w:rFonts w:eastAsiaTheme="minorHAnsi"/>
          <w:sz w:val="28"/>
          <w:szCs w:val="28"/>
          <w:highlight w:val="white"/>
        </w:rPr>
      </w:pPr>
      <w:r>
        <w:rPr>
          <w:rFonts w:eastAsiaTheme="minorHAnsi"/>
          <w:sz w:val="28"/>
          <w:szCs w:val="28"/>
          <w:highlight w:val="white"/>
          <w:lang w:eastAsia="en-US"/>
        </w:rPr>
        <w:t xml:space="preserve">– </w:t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срок исполнения контракта (отдельных этапов исполнения контракта, если проектом контракта предусмотрены такие этапы);</w:t>
      </w:r>
      <w:r>
        <w:rPr>
          <w:highlight w:val="white"/>
        </w:rPr>
      </w:r>
      <w:r/>
    </w:p>
    <w:p>
      <w:pPr>
        <w:ind w:firstLine="709"/>
        <w:jc w:val="both"/>
        <w:rPr>
          <w:rFonts w:eastAsiaTheme="minorHAns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– </w:t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размер аванса (если предусмотрена выплата аванса);</w:t>
      </w:r>
      <w:r>
        <w:rPr>
          <w:highlight w:val="white"/>
        </w:rPr>
      </w:r>
      <w:r/>
    </w:p>
    <w:p>
      <w:pPr>
        <w:ind w:firstLine="709"/>
        <w:jc w:val="both"/>
        <w:rPr>
          <w:rFonts w:eastAsiaTheme="minorHAns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– размер обеспечения исполнения контракта, </w:t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порядок предоставления такого обеспечения, требования к такому обеспечению (если требование обеспечения исполнения контракта, гарантийных обязательств установлено </w:t>
      </w:r>
      <w:r>
        <w:rPr>
          <w:rFonts w:eastAsiaTheme="minorHAnsi"/>
          <w:sz w:val="28"/>
          <w:szCs w:val="28"/>
          <w:highlight w:val="white"/>
          <w:lang w:eastAsia="en-US"/>
        </w:rPr>
        <w:br/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в соответствии со статьей 96 Федерального закона № 44-ФЗ)</w:t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 (рекомендуется указать </w:t>
      </w:r>
      <w:r>
        <w:rPr>
          <w:sz w:val="28"/>
          <w:szCs w:val="28"/>
          <w:highlight w:val="white"/>
        </w:rPr>
        <w:t xml:space="preserve">антидемпинговые меры, предусмотренные статьей 37 Федерального закона № 44-ФЗ,</w:t>
      </w:r>
      <w:r>
        <w:rPr>
          <w:b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с учетом </w:t>
      </w:r>
      <w:r>
        <w:rPr>
          <w:sz w:val="28"/>
          <w:szCs w:val="28"/>
          <w:highlight w:val="white"/>
        </w:rPr>
        <w:t xml:space="preserve">размера максимального значения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ц</w:t>
      </w:r>
      <w:r>
        <w:rPr>
          <w:sz w:val="28"/>
          <w:szCs w:val="28"/>
          <w:highlight w:val="white"/>
        </w:rPr>
        <w:t xml:space="preserve">ены контракта</w:t>
      </w:r>
      <w:r>
        <w:rPr>
          <w:sz w:val="28"/>
          <w:szCs w:val="28"/>
          <w:highlight w:val="white"/>
        </w:rPr>
        <w:t xml:space="preserve">)</w:t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;</w:t>
      </w:r>
      <w:r>
        <w:rPr>
          <w:highlight w:val="white"/>
        </w:rPr>
      </w:r>
      <w:r/>
    </w:p>
    <w:p>
      <w:pPr>
        <w:ind w:firstLine="709"/>
        <w:jc w:val="both"/>
        <w:rPr>
          <w:rFonts w:eastAsiaTheme="minorHAns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– размер обеспечения гарантийных обязательств, </w:t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порядок предоставления такого обеспечения, требования к такому обеспечению (если требование обеспечения гарантийных обязательств установлено </w:t>
      </w:r>
      <w:r>
        <w:rPr>
          <w:rFonts w:eastAsiaTheme="minorHAnsi"/>
          <w:sz w:val="28"/>
          <w:szCs w:val="28"/>
          <w:highlight w:val="white"/>
          <w:lang w:eastAsia="en-US"/>
        </w:rPr>
        <w:br/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в соответствии со статьей 96 Федерального закона № 44-ФЗ)</w:t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, а также </w:t>
      </w:r>
      <w:r>
        <w:rPr>
          <w:sz w:val="28"/>
          <w:szCs w:val="28"/>
          <w:highlight w:val="white"/>
        </w:rPr>
        <w:t xml:space="preserve">обязательное условие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о сроке предоставления поставщиком (подрядчиком, исполнителем) обеспечения гарантийных обязательств</w:t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;</w:t>
      </w:r>
      <w:r>
        <w:rPr>
          <w:highlight w:val="white"/>
        </w:rPr>
      </w:r>
      <w:r/>
    </w:p>
    <w:p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– информация о банковском сопровождении контракта в случаях, установленных муниципальным правовым актом (постановление администрации города Ставрополя от 07.09.2018 № 1837 «Об определении случаев осуществления банковского сопровождения контрактов </w:t>
      </w:r>
      <w:r>
        <w:rPr>
          <w:sz w:val="28"/>
          <w:szCs w:val="28"/>
          <w:highlight w:val="white"/>
        </w:rPr>
        <w:br/>
        <w:t xml:space="preserve">для обеспечения нужд заказчиков города Ставрополя»);</w:t>
      </w:r>
      <w:r>
        <w:rPr>
          <w:highlight w:val="white"/>
        </w:rPr>
      </w:r>
      <w:r/>
    </w:p>
    <w:p>
      <w:pPr>
        <w:ind w:firstLine="709"/>
        <w:jc w:val="both"/>
        <w:tabs>
          <w:tab w:val="center" w:pos="4897" w:leader="none"/>
          <w:tab w:val="left" w:pos="8295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– может быть</w:t>
      </w:r>
      <w:r>
        <w:rPr>
          <w:sz w:val="28"/>
          <w:szCs w:val="28"/>
          <w:highlight w:val="white"/>
        </w:rPr>
        <w:t xml:space="preserve"> включено условие о возможности одностороннего отказа от исполнения контракта в соответствии с положениями частей 8-11, 13-19, 21-23 и 25 статьи 95 Федерального закона № 44-ФЗ, если соответствующее условие предусмотрено извещением об осуществлении закупки;</w:t>
      </w:r>
      <w:r>
        <w:rPr>
          <w:highlight w:val="white"/>
        </w:rPr>
      </w:r>
      <w:r/>
    </w:p>
    <w:p>
      <w:pPr>
        <w:ind w:firstLine="709"/>
        <w:jc w:val="both"/>
        <w:tabs>
          <w:tab w:val="center" w:pos="4897" w:leader="none"/>
          <w:tab w:val="left" w:pos="8295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– порядок определения количества поставляемого товара, объема выполняемой работы, оказываемой услуги на основании заявок заказчика;</w:t>
      </w:r>
      <w:r>
        <w:rPr>
          <w:highlight w:val="white"/>
        </w:rPr>
      </w:r>
      <w:r/>
    </w:p>
    <w:p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– </w:t>
      </w:r>
      <w:r>
        <w:rPr>
          <w:sz w:val="28"/>
          <w:szCs w:val="28"/>
          <w:highlight w:val="white"/>
        </w:rPr>
        <w:t xml:space="preserve">указываются цены единиц товара, работы, услуги и максимальное значение цены контракта, </w:t>
      </w:r>
      <w:r>
        <w:rPr>
          <w:sz w:val="28"/>
          <w:szCs w:val="28"/>
          <w:highlight w:val="white"/>
        </w:rPr>
        <w:t xml:space="preserve">а также в случаях, установленных Правительством Российской Федерации,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указываются ориентировочное значе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ние цены контракта либо формула цены и максимальное значение цены контракта, установленные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заказчиком в извещении об осуществлении закупки, например, в случаях, установленных постановлением Правительства Российской Федерации от 13 января 2014 г. № 19, при </w:t>
      </w:r>
      <w:r>
        <w:rPr>
          <w:sz w:val="28"/>
          <w:szCs w:val="28"/>
          <w:highlight w:val="white"/>
        </w:rPr>
        <w:t xml:space="preserve">заключении контракта на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предоставление услуг обязательного страхования, предусмотренного федеральным законом о соответствующем виде обязательного страхования;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предоставление агентских услуг при условии установления в контракте зависимости размера вознаграждения агента от результата исполнения поручения принципала; оказание услуг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по предоставлению кредита субъектам Российской Федерации и (или) муниципальным образованиям </w:t>
      </w:r>
      <w:r>
        <w:rPr>
          <w:rFonts w:eastAsia="Calibri"/>
          <w:sz w:val="28"/>
          <w:szCs w:val="28"/>
          <w:highlight w:val="white"/>
          <w:lang w:eastAsia="en-US"/>
        </w:rPr>
        <w:br/>
        <w:t xml:space="preserve">при условии установления в контракте проц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ентной ставки, рассчитываемой как сумма ключевой ставки Центрального банка Российской Федерации и надбавки, определяемой указанным контрактом; заключении контракта,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предметом которого является одновременно выполнение работ </w:t>
      </w:r>
      <w:r>
        <w:rPr>
          <w:rFonts w:eastAsia="Calibri"/>
          <w:sz w:val="28"/>
          <w:szCs w:val="28"/>
          <w:highlight w:val="white"/>
          <w:lang w:eastAsia="en-US"/>
        </w:rPr>
        <w:br/>
        <w:t xml:space="preserve">по проектированию, строительству и вводу в эксплуатацию объектов капи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тального строительства, в порядке и на основаниях, предусмотренных постановлением Правительства Российской Федерации от 12 мая 2017 г. № 563 «О порядке и об основаниях заключения контрактов, предметом которых является одновременно выполнение работ по проек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тированию, строительству и вводу в эксплуатацию объектов капитального строительства, и о внесении изменений в некоторые акты Правительства Российской Федерации»; заключении контракта на поставку топлива моторного, включая автомобильный и авиационный бензин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;</w:t>
      </w:r>
      <w:r>
        <w:rPr>
          <w:highlight w:val="white"/>
        </w:rPr>
      </w:r>
      <w:r/>
    </w:p>
    <w:p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– в случае, если проектом контракта предусмотрены отдельные этапы его исполнения,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цена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(максимальное значение цены)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каждого этапа устанавливается в размере, сниженном пропорционально снижению начальной (максимальной) цены контракта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(суммы цен единиц товара, работы, услуги)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участником закупки, с которым заключается контракт;</w:t>
      </w:r>
      <w:r>
        <w:rPr>
          <w:highlight w:val="white"/>
        </w:rPr>
      </w:r>
      <w:r/>
    </w:p>
    <w:p>
      <w:pPr>
        <w:ind w:firstLine="709"/>
        <w:jc w:val="both"/>
        <w:tabs>
          <w:tab w:val="center" w:pos="4897" w:leader="none"/>
          <w:tab w:val="left" w:pos="8295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– обязательное условие об ответственности заказчика и поставщика (подрядчика, исполнителя) за неисполнение или ненадлежащее исполнение обязательств, предусмотре</w:t>
      </w:r>
      <w:r>
        <w:rPr>
          <w:sz w:val="28"/>
          <w:szCs w:val="28"/>
          <w:highlight w:val="white"/>
        </w:rPr>
        <w:t xml:space="preserve">нных контрактом (с учетом требований статьи 34 Федерального закона № 44-ФЗ и постановления Правительства Российской Федерации от 30 августа 2017 г. № 1042 «Об утверждении Правил определения размера штрафа, начисляемого в случае ненадлежащего исполнения зак</w:t>
      </w:r>
      <w:r>
        <w:rPr>
          <w:sz w:val="28"/>
          <w:szCs w:val="28"/>
          <w:highlight w:val="white"/>
        </w:rPr>
        <w:t xml:space="preserve">азчиком, неисполнения или ненадлежащего исполнения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о внесении изменений </w:t>
      </w:r>
      <w:r>
        <w:rPr>
          <w:sz w:val="28"/>
          <w:szCs w:val="28"/>
          <w:highlight w:val="white"/>
        </w:rPr>
        <w:br/>
      </w:r>
      <w:r>
        <w:rPr>
          <w:sz w:val="28"/>
          <w:szCs w:val="28"/>
          <w:highlight w:val="white"/>
        </w:rPr>
        <w:t xml:space="preserve">в постановление Правительства Российской Федерации от 15 мая 2017 г. </w:t>
      </w:r>
      <w:r>
        <w:rPr>
          <w:sz w:val="28"/>
          <w:szCs w:val="28"/>
          <w:highlight w:val="white"/>
        </w:rPr>
        <w:br/>
      </w:r>
      <w:r>
        <w:rPr>
          <w:sz w:val="28"/>
          <w:szCs w:val="28"/>
          <w:highlight w:val="white"/>
        </w:rPr>
        <w:t xml:space="preserve">№ 570 и признании утратившим силу постановления Правительства Российской Федерации от 25 ноября 2013 г. № 1063»);</w:t>
      </w:r>
      <w:r>
        <w:rPr>
          <w:highlight w:val="white"/>
        </w:rPr>
      </w:r>
      <w:r/>
    </w:p>
    <w:p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– обязат</w:t>
      </w:r>
      <w:r>
        <w:rPr>
          <w:sz w:val="28"/>
          <w:szCs w:val="28"/>
          <w:highlight w:val="white"/>
        </w:rPr>
        <w:t xml:space="preserve">ельное условие о сроках возврата заказчиком поставщику (подрядчику, исполнителю) денежных средств, внесенных в качестве обеспечения исполнения контракта (если такая форма обеспечения исполнения контракта применяется поставщиком (подрядчиком, исполнителем),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в том числе части этих денежных средств в случае уменьшения размера обеспечения исполнения контракта в соответствии </w:t>
      </w:r>
      <w:r>
        <w:rPr>
          <w:rFonts w:eastAsia="Calibri"/>
          <w:sz w:val="28"/>
          <w:szCs w:val="28"/>
          <w:highlight w:val="white"/>
          <w:lang w:eastAsia="en-US"/>
        </w:rPr>
        <w:br/>
        <w:t xml:space="preserve">с частями 7, 7.1 и 7.2 статьи 96 Ф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едерального закона № 44-ФЗ. При этом срок возврата заказчиком поставщику (подрядчику, исполнителю) таких денежных средств не должен превышать тридцать дней с даты исполнения поставщиком (подрядчиком, исполнителем) обязательств, предусмотренных контрактом, </w:t>
      </w:r>
      <w:r>
        <w:rPr>
          <w:rFonts w:eastAsia="Calibri"/>
          <w:sz w:val="28"/>
          <w:szCs w:val="28"/>
          <w:highlight w:val="white"/>
          <w:lang w:eastAsia="en-US"/>
        </w:rPr>
        <w:br/>
      </w:r>
      <w:r>
        <w:rPr>
          <w:rFonts w:eastAsia="Calibri"/>
          <w:sz w:val="28"/>
          <w:szCs w:val="28"/>
          <w:highlight w:val="white"/>
          <w:lang w:eastAsia="en-US"/>
        </w:rPr>
        <w:t xml:space="preserve">а в случае установления заказчиком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пре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и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мущества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, предусмотренного </w:t>
        <w:br/>
      </w:r>
      <w:hyperlink r:id="rId11" w:tooltip="consultantplus://offline/ref=C4028078A17046D9C00FC91BF51D49D6B8101B777AF5CE02F65F5151285B556C5FA259301ABF53031F36517737F730C1469DC5D0F057i6P" w:history="1">
        <w:r>
          <w:rPr>
            <w:rFonts w:eastAsia="Calibri"/>
            <w:sz w:val="28"/>
            <w:szCs w:val="28"/>
            <w:highlight w:val="white"/>
            <w:lang w:eastAsia="en-US"/>
          </w:rPr>
          <w:t xml:space="preserve">частью 3 статьи 30</w:t>
        </w:r>
      </w:hyperlink>
      <w:r>
        <w:rPr>
          <w:rFonts w:eastAsia="Calibri"/>
          <w:sz w:val="28"/>
          <w:szCs w:val="28"/>
          <w:highlight w:val="white"/>
          <w:lang w:eastAsia="en-US"/>
        </w:rPr>
        <w:t xml:space="preserve"> Федерального закона № 44-ФЗ, такой срок не должен превышать пятнадцать дней с даты исполнения поставщиком (подрядчиком, исполнителем) обязательств, предусмотренных контрактом;</w:t>
      </w:r>
      <w:r>
        <w:rPr>
          <w:highlight w:val="white"/>
        </w:rPr>
      </w:r>
      <w:r/>
    </w:p>
    <w:p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– обязательство поставщика (подрядчика, исполнителя) в случае отзыва в соответствии с законодательством Российской Федерации у банка, </w:t>
      </w:r>
      <w:r>
        <w:rPr>
          <w:sz w:val="28"/>
          <w:szCs w:val="28"/>
          <w:highlight w:val="white"/>
        </w:rPr>
        <w:t xml:space="preserve">предоставившего </w:t>
      </w:r>
      <w:r>
        <w:rPr>
          <w:sz w:val="28"/>
          <w:szCs w:val="28"/>
          <w:highlight w:val="white"/>
        </w:rPr>
        <w:t xml:space="preserve">независимую</w:t>
      </w:r>
      <w:r>
        <w:rPr>
          <w:sz w:val="28"/>
          <w:szCs w:val="28"/>
          <w:highlight w:val="white"/>
        </w:rPr>
        <w:t xml:space="preserve"> гарантию в качестве обеспечения исполнения контракта,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</w:t>
      </w:r>
      <w:r>
        <w:rPr>
          <w:sz w:val="28"/>
          <w:szCs w:val="28"/>
          <w:highlight w:val="white"/>
        </w:rPr>
        <w:t xml:space="preserve">ения заказчиком поставщика (подрядчика, исполнителя) о необходимости предоставить соответствующее обеспечение. Размер такого обеспечения может быть уменьшен в порядке и случаях, которые предусмотрены частями 7, 7.1, 7.2 и 7.3 статьи 96 Федерального закона </w:t>
      </w:r>
      <w:r>
        <w:rPr>
          <w:sz w:val="28"/>
          <w:szCs w:val="28"/>
          <w:highlight w:val="white"/>
        </w:rPr>
        <w:br/>
      </w:r>
      <w:r>
        <w:rPr>
          <w:sz w:val="28"/>
          <w:szCs w:val="28"/>
          <w:highlight w:val="white"/>
        </w:rPr>
        <w:t xml:space="preserve">№ 44-ФЗ. За каждый день просрочки исполнения поставщиком (подрядчиком, исполнителем) обязательства, предусмотренного настоящей частью, начисляется пеня в размере, определенном в порядке, установленном </w:t>
      </w:r>
      <w:r>
        <w:rPr>
          <w:sz w:val="28"/>
          <w:szCs w:val="28"/>
          <w:highlight w:val="white"/>
        </w:rPr>
        <w:br/>
      </w:r>
      <w:r>
        <w:rPr>
          <w:sz w:val="28"/>
          <w:szCs w:val="28"/>
          <w:highlight w:val="white"/>
        </w:rPr>
        <w:t xml:space="preserve">в соответствии с частью 7 статьи 34 Федерального закона № 44-ФЗ;</w:t>
      </w:r>
      <w:r>
        <w:rPr>
          <w:highlight w:val="white"/>
        </w:rPr>
      </w:r>
      <w:r/>
    </w:p>
    <w:p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– обязательные условия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о </w:t>
      </w:r>
      <w:r>
        <w:rPr>
          <w:sz w:val="28"/>
          <w:szCs w:val="28"/>
          <w:highlight w:val="white"/>
        </w:rPr>
        <w:t xml:space="preserve">порядке и сроках оплаты товара, работы или услуги, в том числе с учетом положений части 13 статьи 37 Федерального закона № 44-ФЗ, согласно которой не допускается выплата аванса </w:t>
      </w:r>
      <w:r>
        <w:rPr>
          <w:sz w:val="28"/>
          <w:szCs w:val="28"/>
          <w:highlight w:val="white"/>
        </w:rPr>
        <w:br/>
        <w:t xml:space="preserve">при исполнении контракта, заключенного с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участником закупки, предложившим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сумму цен единиц товара, работы, услуги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на двадцать пять и более процентов ниже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начальной суммы цен указанных единиц</w:t>
      </w:r>
      <w:r>
        <w:rPr>
          <w:sz w:val="28"/>
          <w:szCs w:val="28"/>
          <w:highlight w:val="white"/>
        </w:rPr>
        <w:t xml:space="preserve"> (срок оплаты заказчиком поставленного товара, выполненной работы (ее результатов), оказанной услуги, отдель</w:t>
      </w:r>
      <w:r>
        <w:rPr>
          <w:sz w:val="28"/>
          <w:szCs w:val="28"/>
          <w:highlight w:val="white"/>
        </w:rPr>
        <w:t xml:space="preserve">ных этапов исполнения контракта, предусмотренный контрактом, </w:t>
      </w:r>
      <w:r>
        <w:rPr>
          <w:sz w:val="28"/>
          <w:szCs w:val="28"/>
          <w:highlight w:val="white"/>
        </w:rPr>
        <w:t xml:space="preserve">должен составлять не более </w:t>
      </w:r>
      <w:r>
        <w:rPr>
          <w:sz w:val="28"/>
          <w:szCs w:val="28"/>
          <w:highlight w:val="white"/>
        </w:rPr>
        <w:t xml:space="preserve">семи ра</w:t>
      </w:r>
      <w:r>
        <w:rPr>
          <w:sz w:val="28"/>
          <w:szCs w:val="28"/>
          <w:highlight w:val="white"/>
        </w:rPr>
        <w:t xml:space="preserve">бочих </w:t>
      </w:r>
      <w:r>
        <w:rPr>
          <w:sz w:val="28"/>
          <w:szCs w:val="28"/>
          <w:highlight w:val="white"/>
        </w:rPr>
        <w:t xml:space="preserve">дней с даты подписания заказчиком документа о приемке, предусмотренного частью 7 статьи 94 Федерального закона № 44-ФЗ, </w:t>
      </w:r>
      <w:r>
        <w:rPr>
          <w:sz w:val="28"/>
          <w:szCs w:val="28"/>
          <w:highlight w:val="white"/>
        </w:rPr>
        <w:t xml:space="preserve">за исключением случаев,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если иной срок оплаты установлен законодательством Российской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Федерации</w:t>
      </w:r>
      <w:r>
        <w:rPr>
          <w:sz w:val="28"/>
          <w:szCs w:val="28"/>
          <w:highlight w:val="white"/>
        </w:rPr>
        <w:t xml:space="preserve">;</w:t>
      </w:r>
      <w:r>
        <w:rPr>
          <w:highlight w:val="white"/>
        </w:rPr>
      </w:r>
      <w:r/>
    </w:p>
    <w:p>
      <w:pPr>
        <w:pStyle w:val="859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– обязательные условия о порядке и сроках осуще</w:t>
      </w:r>
      <w:r>
        <w:rPr>
          <w:rFonts w:ascii="Times New Roman" w:hAnsi="Times New Roman"/>
          <w:sz w:val="28"/>
          <w:szCs w:val="28"/>
          <w:highlight w:val="white"/>
        </w:rPr>
        <w:t xml:space="preserve">ствления заказчиком приемки </w:t>
      </w:r>
      <w:r>
        <w:rPr>
          <w:rFonts w:ascii="Times New Roman" w:hAnsi="Times New Roman"/>
          <w:bCs/>
          <w:sz w:val="28"/>
          <w:szCs w:val="28"/>
          <w:highlight w:val="white"/>
        </w:rPr>
        <w:t xml:space="preserve">поставленного товара, выполненной работы (ее результатов) или оказанной услуги </w:t>
      </w:r>
      <w:r>
        <w:rPr>
          <w:rFonts w:ascii="Times New Roman" w:hAnsi="Times New Roman"/>
          <w:sz w:val="28"/>
          <w:szCs w:val="28"/>
          <w:highlight w:val="white"/>
        </w:rPr>
        <w:t xml:space="preserve">в части соответствия их количества, комплектности, объема требованиям, установленным контрактом</w:t>
      </w:r>
      <w:r>
        <w:rPr>
          <w:rFonts w:ascii="Times New Roman" w:hAnsi="Times New Roman"/>
          <w:sz w:val="28"/>
          <w:szCs w:val="28"/>
          <w:highlight w:val="white"/>
        </w:rPr>
        <w:t xml:space="preserve">, в том числе в отношении приемки результатов отдельного этапа исполнения контракта</w:t>
      </w:r>
      <w:r>
        <w:rPr>
          <w:rFonts w:ascii="Times New Roman" w:hAnsi="Times New Roman"/>
          <w:sz w:val="28"/>
          <w:szCs w:val="28"/>
          <w:highlight w:val="white"/>
        </w:rPr>
        <w:t xml:space="preserve">, с учетом положений части 13 статьи 94 Федерального закона № 44-ФЗ</w:t>
      </w:r>
      <w:r>
        <w:rPr>
          <w:rFonts w:ascii="Times New Roman" w:hAnsi="Times New Roman"/>
          <w:sz w:val="28"/>
          <w:szCs w:val="28"/>
          <w:highlight w:val="white"/>
        </w:rPr>
        <w:t xml:space="preserve">; </w:t>
      </w:r>
      <w:r>
        <w:rPr>
          <w:highlight w:val="white"/>
        </w:rPr>
      </w:r>
      <w:r/>
    </w:p>
    <w:p>
      <w:pPr>
        <w:ind w:firstLine="709"/>
        <w:jc w:val="both"/>
        <w:tabs>
          <w:tab w:val="center" w:pos="4897" w:leader="none"/>
          <w:tab w:val="left" w:pos="8295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– обязательные условия о порядке и сроках оформления результатов такой приемки</w:t>
      </w:r>
      <w:r>
        <w:rPr>
          <w:sz w:val="28"/>
          <w:szCs w:val="28"/>
          <w:highlight w:val="white"/>
        </w:rPr>
        <w:t xml:space="preserve">, в том числе в отношении приемки результатов отдельного этапа исполнения контракта</w:t>
      </w:r>
      <w:r>
        <w:rPr>
          <w:sz w:val="28"/>
          <w:szCs w:val="28"/>
          <w:highlight w:val="white"/>
        </w:rPr>
        <w:t xml:space="preserve">, с учетом положений части 13 статьи 94 Федерального закона № 44-ФЗ</w:t>
      </w:r>
      <w:r>
        <w:rPr>
          <w:sz w:val="28"/>
          <w:szCs w:val="28"/>
          <w:highlight w:val="white"/>
        </w:rPr>
        <w:t xml:space="preserve">;</w:t>
      </w:r>
      <w:r>
        <w:rPr>
          <w:highlight w:val="white"/>
        </w:rPr>
      </w:r>
      <w:r/>
    </w:p>
    <w:p>
      <w:pPr>
        <w:ind w:firstLine="709"/>
        <w:jc w:val="both"/>
        <w:tabs>
          <w:tab w:val="center" w:pos="4897" w:leader="none"/>
          <w:tab w:val="left" w:pos="8295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– условие о том, что оплата поставленного товара, выпо</w:t>
      </w:r>
      <w:r>
        <w:rPr>
          <w:sz w:val="28"/>
          <w:szCs w:val="28"/>
          <w:highlight w:val="white"/>
        </w:rPr>
        <w:t xml:space="preserve">лненной работы, оказанной услуги осуществляется по цене единицы товара, работы, услуги исходя из количества поставленного товара, объема фактически выполненной работы или оказанной услуги, но в размере, не превышающем максимального значения цены контракта;</w:t>
      </w:r>
      <w:r>
        <w:rPr>
          <w:highlight w:val="white"/>
        </w:rPr>
      </w:r>
      <w:r/>
    </w:p>
    <w:p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 xml:space="preserve">– в случае, если контрактом предусмотрены его поэтапное исполнение и выплата аванса, в контракт включается условие о размере аванса </w:t>
      </w:r>
      <w:r>
        <w:rPr>
          <w:bCs/>
          <w:sz w:val="28"/>
          <w:szCs w:val="28"/>
          <w:highlight w:val="white"/>
        </w:rPr>
        <w:br/>
        <w:t xml:space="preserve">в отношении каждого этапа исполнения контракта в виде процента </w:t>
      </w:r>
      <w:r>
        <w:rPr>
          <w:bCs/>
          <w:sz w:val="28"/>
          <w:szCs w:val="28"/>
          <w:highlight w:val="white"/>
        </w:rPr>
        <w:br/>
        <w:t xml:space="preserve">от размера цены </w:t>
      </w:r>
      <w:r>
        <w:rPr>
          <w:bCs/>
          <w:sz w:val="28"/>
          <w:szCs w:val="28"/>
          <w:highlight w:val="white"/>
        </w:rPr>
        <w:t xml:space="preserve">(максимального значения цены) </w:t>
      </w:r>
      <w:r>
        <w:rPr>
          <w:bCs/>
          <w:sz w:val="28"/>
          <w:szCs w:val="28"/>
          <w:highlight w:val="white"/>
        </w:rPr>
        <w:t xml:space="preserve">соответствующего этапа;</w:t>
      </w:r>
      <w:r>
        <w:rPr>
          <w:highlight w:val="white"/>
        </w:rPr>
      </w:r>
      <w:r/>
    </w:p>
    <w:p>
      <w:pPr>
        <w:ind w:firstLine="709"/>
        <w:jc w:val="both"/>
        <w:tabs>
          <w:tab w:val="center" w:pos="4897" w:leader="none"/>
          <w:tab w:val="left" w:pos="8295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– обязательное условие об уменьшении суммы, подлежащей уплате заказчиком юридическому лицу или физическому лицу, в том числе </w:t>
      </w:r>
      <w:r>
        <w:rPr>
          <w:sz w:val="28"/>
          <w:szCs w:val="28"/>
          <w:highlight w:val="white"/>
        </w:rPr>
        <w:t xml:space="preserve">зарегистрированному в качестве индивидуального предпринимателя, </w:t>
      </w:r>
      <w:r>
        <w:rPr>
          <w:sz w:val="28"/>
          <w:szCs w:val="28"/>
          <w:highlight w:val="white"/>
        </w:rPr>
        <w:br/>
        <w:t xml:space="preserve">на размер налогов, сборо</w:t>
      </w:r>
      <w:r>
        <w:rPr>
          <w:sz w:val="28"/>
          <w:szCs w:val="28"/>
          <w:highlight w:val="white"/>
        </w:rPr>
        <w:t xml:space="preserve">в и иных обязательных платежей в бюджеты бюджетной системы Российской Федерации, связанных с оплатой контракта,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 </w:t>
      </w:r>
      <w:r>
        <w:rPr>
          <w:sz w:val="28"/>
          <w:szCs w:val="28"/>
          <w:highlight w:val="white"/>
        </w:rPr>
        <w:br/>
        <w:t xml:space="preserve">в бюджеты бюджетной системы Российской Федерации заказчиком;</w:t>
      </w:r>
      <w:r>
        <w:rPr>
          <w:highlight w:val="white"/>
        </w:rPr>
      </w:r>
      <w:r/>
    </w:p>
    <w:p>
      <w:pPr>
        <w:ind w:firstLine="709"/>
        <w:jc w:val="both"/>
        <w:tabs>
          <w:tab w:val="center" w:pos="4897" w:leader="none"/>
          <w:tab w:val="left" w:pos="8295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– может быть включено условие о</w:t>
      </w:r>
      <w:r>
        <w:rPr>
          <w:sz w:val="28"/>
          <w:szCs w:val="28"/>
          <w:highlight w:val="white"/>
        </w:rPr>
        <w:t xml:space="preserve">б удержании суммы неисполненных поставщиком (подрядчиком, исполнителем) требований об уплате неустоек (штрафов, пеней), предъявленных заказчиком в соответствии с Федеральным законом № 44-ФЗ, из суммы, подлежащей оплате поставщику (подрядчику, исполнителю);</w:t>
      </w:r>
      <w:r>
        <w:rPr>
          <w:highlight w:val="white"/>
        </w:rPr>
      </w:r>
      <w:r/>
    </w:p>
    <w:p>
      <w:pPr>
        <w:ind w:firstLine="540"/>
        <w:jc w:val="both"/>
        <w:rPr>
          <w:rFonts w:eastAsia="Calibri"/>
          <w:highlight w:val="white"/>
        </w:rPr>
        <w:outlineLvl w:val="0"/>
      </w:pPr>
      <w:r>
        <w:rPr>
          <w:sz w:val="28"/>
          <w:szCs w:val="28"/>
          <w:highlight w:val="white"/>
        </w:rPr>
        <w:t xml:space="preserve">– в случае, если в извещении об осуществлении закупки установлено требование к поставщику (подрядчику, исполнителю), не являющемуся субъектом малого предпринимательства или социально ориентированно</w:t>
      </w:r>
      <w:r>
        <w:rPr>
          <w:sz w:val="28"/>
          <w:szCs w:val="28"/>
          <w:highlight w:val="white"/>
        </w:rPr>
        <w:t xml:space="preserve">й некоммерческой организацией,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организаций, проект контракта должен содержать условие о привлечении </w:t>
      </w:r>
      <w:r>
        <w:rPr>
          <w:sz w:val="28"/>
          <w:szCs w:val="28"/>
          <w:highlight w:val="white"/>
        </w:rPr>
        <w:br/>
      </w:r>
      <w:r>
        <w:rPr>
          <w:sz w:val="28"/>
          <w:szCs w:val="28"/>
          <w:highlight w:val="white"/>
        </w:rPr>
        <w:t xml:space="preserve">к исполнению контрактов субподрядчиков, соисполнителей из числа субъектов малого предпринимательства, социально ориентированных некоммерческих с указанием объема такого привлечения, установленного </w:t>
      </w:r>
      <w:r>
        <w:rPr>
          <w:sz w:val="28"/>
          <w:szCs w:val="28"/>
          <w:highlight w:val="white"/>
        </w:rPr>
        <w:br/>
      </w:r>
      <w:r>
        <w:rPr>
          <w:sz w:val="28"/>
          <w:szCs w:val="28"/>
          <w:highlight w:val="white"/>
        </w:rPr>
        <w:t xml:space="preserve">в виде процента от цены контракта, типовые условия, утвержденные постановлением Правительства Российской Федерации от 23 декабря 2016 г. № 1466, в том числе обязательное условие о гражданско-пр</w:t>
      </w:r>
      <w:r>
        <w:rPr>
          <w:sz w:val="28"/>
          <w:szCs w:val="28"/>
          <w:highlight w:val="white"/>
        </w:rPr>
        <w:t xml:space="preserve">авовой ответственности поставщиков (подрядчиков, исполнителей) за неисполнение условия о привлечении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организаций;</w:t>
      </w:r>
      <w:r>
        <w:rPr>
          <w:highlight w:val="white"/>
        </w:rPr>
      </w:r>
      <w:r/>
    </w:p>
    <w:p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– в случае, если </w:t>
      </w:r>
      <w:r>
        <w:rPr>
          <w:sz w:val="28"/>
          <w:szCs w:val="28"/>
          <w:highlight w:val="white"/>
        </w:rPr>
        <w:t xml:space="preserve">максимальное значение цены</w:t>
      </w:r>
      <w:r>
        <w:rPr>
          <w:sz w:val="28"/>
          <w:szCs w:val="28"/>
          <w:highlight w:val="white"/>
        </w:rPr>
        <w:t xml:space="preserve"> контракта </w:t>
      </w:r>
      <w:r>
        <w:rPr>
          <w:sz w:val="28"/>
          <w:szCs w:val="28"/>
          <w:highlight w:val="white"/>
        </w:rPr>
        <w:br/>
      </w:r>
      <w:r>
        <w:rPr>
          <w:sz w:val="28"/>
          <w:szCs w:val="28"/>
          <w:highlight w:val="white"/>
        </w:rPr>
        <w:t xml:space="preserve">при осуществлении закупки товара, работы, услуги превышает размер, установленный Правительством Российской Федерации (100 млн. рублей – при осуществлении закупки для обеспечения муниципальных нужд), </w:t>
      </w:r>
      <w:r>
        <w:rPr>
          <w:sz w:val="28"/>
          <w:szCs w:val="28"/>
          <w:highlight w:val="white"/>
        </w:rPr>
        <w:br/>
      </w:r>
      <w:r>
        <w:rPr>
          <w:sz w:val="28"/>
          <w:szCs w:val="28"/>
          <w:highlight w:val="white"/>
        </w:rPr>
        <w:t xml:space="preserve">в контракте должна быть указана обязанность поставщика (</w:t>
      </w:r>
      <w:r>
        <w:rPr>
          <w:sz w:val="28"/>
          <w:szCs w:val="28"/>
          <w:highlight w:val="white"/>
        </w:rPr>
        <w:t xml:space="preserve">подрядчика, исполнителя) предоставлять информацию о всех соисполнителях, субподрядчиках, заключивших договор или договоры с поставщиком (подрядчиком, исполнителем), цена которого или общая цена которых составляет более чем десять процентов цены контракта.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Указанная информация предоставляется заказчику поставщиком (подрядчиком, исполнителем) в течение десяти дней с момента заключения им договора </w:t>
      </w:r>
      <w:r>
        <w:rPr>
          <w:rFonts w:eastAsia="Calibri"/>
          <w:sz w:val="28"/>
          <w:szCs w:val="28"/>
          <w:highlight w:val="white"/>
          <w:lang w:eastAsia="en-US"/>
        </w:rPr>
        <w:br/>
        <w:t xml:space="preserve">с соисполнителем, субподрядчиком. При этом в контракте должна быть предусмотрена ответственность за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непредоставление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указанной информации путем взыскания с поставщика (подрядчика, исполнителя) пени в размере одной трехсотой действующей на дату уплаты пени ключевой ставки Центрального банка Российской Федерации от цены договора, заключенного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поставщиком (подрядчиком, исполнителем) с соисполнителем, субподрядчиком в соответствии с настоящей частью. Пеня подлежит начислению за каждый день просрочки исполнения такого обязательства. </w:t>
      </w:r>
      <w:r>
        <w:rPr>
          <w:rFonts w:eastAsia="Calibri"/>
          <w:sz w:val="28"/>
          <w:szCs w:val="28"/>
          <w:highlight w:val="white"/>
          <w:lang w:eastAsia="en-US"/>
        </w:rPr>
        <w:br/>
      </w:r>
      <w:r>
        <w:rPr>
          <w:rFonts w:eastAsia="Calibri"/>
          <w:sz w:val="28"/>
          <w:szCs w:val="28"/>
          <w:highlight w:val="white"/>
          <w:lang w:eastAsia="en-US"/>
        </w:rPr>
        <w:t xml:space="preserve">В случае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непредоставления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заказчику указанной информации поставщиком (подрядчиком, исполнителем) информация об этом размещается в единой информационной системе.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Непредоставление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указанной информации поставщиком (подрядчиком, исполнителем) не влечет за собой недействительность заключенного контракта по данному основанию;</w:t>
      </w:r>
      <w:r>
        <w:rPr>
          <w:highlight w:val="white"/>
        </w:rPr>
      </w:r>
      <w:r/>
    </w:p>
    <w:p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– в случае, е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сли контракт заключается на срок более чем три года и максимальное значение цены контракта составляет более чем сто миллионов рублей, контракт должен включать в себя график исполнения контракта;</w:t>
      </w:r>
      <w:r>
        <w:rPr>
          <w:highlight w:val="white"/>
        </w:rPr>
      </w:r>
      <w:r/>
    </w:p>
    <w:p>
      <w:pPr>
        <w:ind w:firstLine="709"/>
        <w:jc w:val="both"/>
        <w:widowControl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– в случае, если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Правительством Российской Федерации установлены типовые условия контрактов, подлежащие применению заказчиками </w:t>
      </w:r>
      <w:r>
        <w:rPr>
          <w:rFonts w:eastAsia="Calibri"/>
          <w:sz w:val="28"/>
          <w:szCs w:val="28"/>
          <w:highlight w:val="white"/>
          <w:lang w:eastAsia="en-US"/>
        </w:rPr>
        <w:br/>
        <w:t xml:space="preserve">при осуществлении закупок, для соответствующего объекта закупки, контракт должен содержать указанные типовые условия; в случае, если </w:t>
      </w:r>
      <w:r>
        <w:rPr>
          <w:rFonts w:eastAsia="Calibri"/>
          <w:sz w:val="28"/>
          <w:szCs w:val="28"/>
          <w:highlight w:val="white"/>
          <w:lang w:eastAsia="en-US"/>
        </w:rPr>
        <w:br/>
        <w:t xml:space="preserve">для соответствующего объекта закупки до 01.01.2022 утверждены типовые контракты или типовые условия контрактов, они должны применят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ь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ся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в части, не противоречащей Федеральному закону № 44-ФЗ до утверждения Правительством Российской Федерации типовых условий контрактов </w:t>
      </w:r>
      <w:r>
        <w:rPr>
          <w:rFonts w:eastAsia="Calibri"/>
          <w:sz w:val="28"/>
          <w:szCs w:val="28"/>
          <w:highlight w:val="white"/>
          <w:lang w:eastAsia="en-US"/>
        </w:rPr>
        <w:br/>
        <w:t xml:space="preserve">в соответствии с частью 11 статьи 34 Федерального закона № 44-ФЗ;</w:t>
      </w:r>
      <w:r>
        <w:rPr>
          <w:highlight w:val="white"/>
        </w:rPr>
      </w:r>
      <w:r/>
    </w:p>
    <w:p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  <w:lang w:eastAsia="en-US"/>
        </w:rPr>
        <w:t xml:space="preserve">– заказчик вправе заключить контракт жизненного цикла в случае, если предметом такого контракта являются новые машины и оборудование, а также в иных случаях, установленных постановлением Правительства Российской Федерации от 28 ноября 2013 г. № 1087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. При этом в контракте должна содержаться информация, предусмотренная частью 16 статьи 34 Федерального закона № 44-ФЗ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;</w:t>
      </w:r>
      <w:r>
        <w:rPr>
          <w:highlight w:val="white"/>
        </w:rPr>
      </w:r>
      <w:r/>
    </w:p>
    <w:p>
      <w:pPr>
        <w:ind w:firstLine="709"/>
        <w:jc w:val="both"/>
        <w:rPr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  <w:lang w:eastAsia="en-US"/>
        </w:rPr>
        <w:t xml:space="preserve">– предметом контракта может быть одновременно выполнение работ </w:t>
        <w:br/>
        <w:t xml:space="preserve">по проектированию, строительству и вводу в эксплуатацию объектов капитального строительства в случаях, предусмотренных </w:t>
      </w:r>
      <w:r>
        <w:rPr>
          <w:sz w:val="28"/>
          <w:szCs w:val="28"/>
          <w:highlight w:val="white"/>
        </w:rPr>
        <w:t xml:space="preserve">постановлением Правительства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Российской Федерации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от 12 мая 2017 г. № 563 «О порядке и об основаниях заключения контрактов, предметом которых является одновременно выполнение работ по проектированию, строительству и вводу </w:t>
      </w:r>
      <w:r>
        <w:rPr>
          <w:sz w:val="28"/>
          <w:szCs w:val="28"/>
          <w:highlight w:val="white"/>
        </w:rPr>
        <w:br/>
        <w:t xml:space="preserve">в эксплуатацию объектов капитального строительства, и о внесении изменений в некоторые акты Правительства Российской Федерации»;</w:t>
      </w:r>
      <w:r>
        <w:rPr>
          <w:highlight w:val="white"/>
        </w:rPr>
      </w:r>
      <w:r/>
    </w:p>
    <w:p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– предметом контракта могут быть одновременно консервация, ремонт, реставрация, приспособление объекта культурного наследия (памятника истории и к</w:t>
      </w:r>
      <w:r>
        <w:rPr>
          <w:sz w:val="28"/>
          <w:szCs w:val="28"/>
          <w:highlight w:val="white"/>
        </w:rPr>
        <w:t xml:space="preserve">ультуры) народов Российской Федерации для современного использования, включая научно-исследовательские, изыскательские, проектные и производственные работы, научное руководство проведением работ по сохранению такого объекта, технический и авторский надзор </w:t>
      </w:r>
      <w:r>
        <w:rPr>
          <w:sz w:val="28"/>
          <w:szCs w:val="28"/>
          <w:highlight w:val="white"/>
        </w:rPr>
        <w:br/>
      </w:r>
      <w:r>
        <w:rPr>
          <w:sz w:val="28"/>
          <w:szCs w:val="28"/>
          <w:highlight w:val="white"/>
        </w:rPr>
        <w:t xml:space="preserve">за проведением этих работ;</w:t>
      </w:r>
      <w:r>
        <w:rPr>
          <w:highlight w:val="white"/>
        </w:rPr>
      </w:r>
      <w:r/>
    </w:p>
    <w:p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highlight w:val="white"/>
        </w:rPr>
      </w:r>
      <w:bookmarkStart w:id="0" w:name="_GoBack"/>
      <w:r>
        <w:rPr>
          <w:highlight w:val="white"/>
        </w:rPr>
      </w:r>
      <w:bookmarkEnd w:id="0"/>
      <w:r>
        <w:rPr>
          <w:sz w:val="28"/>
          <w:szCs w:val="28"/>
          <w:highlight w:val="white"/>
        </w:rPr>
        <w:t xml:space="preserve">– при заключении контракта,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предметом которого являются создание произв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едения архитектуры, градостроительства или садово-паркового искусства и (или) разработка на его основе проектной документации объектов капитального строительства, контракт должен содержать условия, предусмотренные статьей 110.1 Федерального закона № 44-ФЗ;</w:t>
      </w:r>
      <w:r>
        <w:rPr>
          <w:highlight w:val="white"/>
        </w:rPr>
      </w:r>
      <w:r/>
    </w:p>
    <w:p>
      <w:pPr>
        <w:ind w:firstLine="709"/>
        <w:jc w:val="both"/>
        <w:widowControl/>
        <w:rPr>
          <w:rFonts w:eastAsia="Calibri"/>
          <w:sz w:val="28"/>
          <w:szCs w:val="28"/>
          <w:highlight w:val="white"/>
        </w:rPr>
        <w:outlineLvl w:val="0"/>
      </w:pPr>
      <w:r>
        <w:rPr>
          <w:rFonts w:eastAsia="Calibri"/>
          <w:sz w:val="28"/>
          <w:szCs w:val="28"/>
          <w:highlight w:val="white"/>
          <w:lang w:eastAsia="en-US"/>
        </w:rPr>
        <w:t xml:space="preserve">– при заключении контракта, предметом которого является подготовка проектной до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кументации и (или) выполнение инженерных изысканий, или контракта, предметом которого является строительство или реконструкция объекта капитального строительства, контракт должен содержать условия, предусмотренные статьей 110.2 Федерального закона № 44-ФЗ;</w:t>
      </w:r>
      <w:r>
        <w:rPr>
          <w:highlight w:val="white"/>
        </w:rPr>
      </w:r>
      <w:r/>
    </w:p>
    <w:p>
      <w:pPr>
        <w:ind w:firstLine="709"/>
        <w:jc w:val="both"/>
        <w:widowControl/>
        <w:rPr>
          <w:rFonts w:eastAsia="Calibri"/>
          <w:sz w:val="28"/>
          <w:szCs w:val="28"/>
          <w:highlight w:val="white"/>
        </w:rPr>
        <w:outlineLvl w:val="0"/>
      </w:pPr>
      <w:r>
        <w:rPr>
          <w:rFonts w:eastAsia="Calibri"/>
          <w:sz w:val="28"/>
          <w:szCs w:val="28"/>
          <w:highlight w:val="white"/>
          <w:lang w:eastAsia="en-US"/>
        </w:rPr>
        <w:t xml:space="preserve">– в случае, если в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извещении об осуществлении закупки (описании объекта закупки)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установлены требования к товарам, в том числе поставляемым заказчику при выполнении закупаемых работ, оказании оказываемых услуг, проект контракта должен предусматривать возможность указания при заключении контракта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наименования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страны происхождения товара;</w:t>
      </w:r>
      <w:r>
        <w:rPr>
          <w:highlight w:val="white"/>
        </w:rPr>
      </w:r>
      <w:r/>
    </w:p>
    <w:p>
      <w:pPr>
        <w:ind w:firstLine="709"/>
        <w:jc w:val="both"/>
        <w:rPr>
          <w:highlight w:val="white"/>
        </w:rPr>
      </w:pPr>
      <w:r>
        <w:rPr>
          <w:rFonts w:eastAsia="Calibri"/>
          <w:sz w:val="28"/>
          <w:szCs w:val="28"/>
          <w:highlight w:val="white"/>
          <w:lang w:eastAsia="en-US"/>
        </w:rPr>
        <w:t xml:space="preserve">– в случае, если в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извещении об осуществлении закупки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установлен </w:t>
      </w:r>
      <w:r>
        <w:rPr>
          <w:sz w:val="28"/>
          <w:szCs w:val="28"/>
          <w:highlight w:val="white"/>
        </w:rPr>
        <w:t xml:space="preserve">запрет на допуск промышленных товаров, происходящих из иностранных государств (за иск</w:t>
      </w:r>
      <w:r>
        <w:rPr>
          <w:sz w:val="28"/>
          <w:szCs w:val="28"/>
          <w:highlight w:val="white"/>
        </w:rPr>
        <w:t xml:space="preserve">лючением государств – членов Евразийского экономического союза), в соответствии с постановлением Правительства Российской Федерации от 30 апреля 2020 г. № 616 «Об установлении запрета на допуск промышленных товаров, происходящих из иностранных государств, </w:t>
      </w:r>
      <w:r>
        <w:rPr>
          <w:sz w:val="28"/>
          <w:szCs w:val="28"/>
          <w:highlight w:val="white"/>
        </w:rPr>
        <w:br/>
        <w:t xml:space="preserve">для целей осуществления закупок для</w:t>
      </w:r>
      <w:r>
        <w:rPr>
          <w:sz w:val="28"/>
          <w:szCs w:val="28"/>
          <w:highlight w:val="white"/>
        </w:rPr>
        <w:t xml:space="preserve">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государства», </w:t>
      </w:r>
      <w:r>
        <w:rPr>
          <w:sz w:val="28"/>
          <w:szCs w:val="28"/>
          <w:highlight w:val="white"/>
        </w:rPr>
        <w:t xml:space="preserve">в контракт включается информация о реестровых записях о товаре</w:t>
      </w:r>
      <w:r>
        <w:rPr>
          <w:sz w:val="28"/>
          <w:szCs w:val="28"/>
          <w:highlight w:val="white"/>
        </w:rPr>
        <w:t xml:space="preserve"> и совокупном</w:t>
      </w:r>
      <w:r>
        <w:rPr>
          <w:sz w:val="28"/>
          <w:szCs w:val="28"/>
          <w:highlight w:val="white"/>
        </w:rPr>
        <w:t xml:space="preserve"> количестве баллов, которые указаны (продеклариров</w:t>
      </w:r>
      <w:r>
        <w:rPr>
          <w:sz w:val="28"/>
          <w:szCs w:val="28"/>
          <w:highlight w:val="white"/>
        </w:rPr>
        <w:t xml:space="preserve">аны) в составе заявки на участие в </w:t>
      </w:r>
      <w:r>
        <w:rPr>
          <w:sz w:val="28"/>
          <w:szCs w:val="28"/>
          <w:highlight w:val="white"/>
        </w:rPr>
        <w:t xml:space="preserve">закупке</w:t>
      </w:r>
      <w:r>
        <w:rPr>
          <w:sz w:val="28"/>
          <w:szCs w:val="28"/>
          <w:highlight w:val="white"/>
        </w:rPr>
        <w:t xml:space="preserve">;</w:t>
      </w:r>
      <w:r>
        <w:rPr>
          <w:highlight w:val="white"/>
        </w:rPr>
      </w:r>
      <w:r/>
    </w:p>
    <w:p>
      <w:pPr>
        <w:ind w:firstLine="709"/>
        <w:jc w:val="both"/>
        <w:widowControl/>
        <w:rPr>
          <w:highlight w:val="white"/>
        </w:rPr>
        <w:outlineLvl w:val="0"/>
      </w:pPr>
      <w:r>
        <w:rPr>
          <w:rFonts w:eastAsia="Calibri"/>
          <w:sz w:val="28"/>
          <w:szCs w:val="28"/>
          <w:highlight w:val="white"/>
          <w:lang w:eastAsia="en-US"/>
        </w:rPr>
        <w:t xml:space="preserve">– в случае, если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в извещении об осуществлении закупки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установлено </w:t>
      </w:r>
      <w:r>
        <w:rPr>
          <w:sz w:val="28"/>
          <w:szCs w:val="28"/>
          <w:highlight w:val="white"/>
        </w:rPr>
        <w:t xml:space="preserve">ограничение допуска отдельных видов промышленных товаров, происходящих из иностранных государств (за исключением государств – членов Евразийского экономического союза), в соответствии </w:t>
      </w:r>
      <w:r>
        <w:rPr>
          <w:sz w:val="28"/>
          <w:szCs w:val="28"/>
          <w:highlight w:val="white"/>
        </w:rPr>
        <w:br/>
      </w:r>
      <w:r>
        <w:rPr>
          <w:sz w:val="28"/>
          <w:szCs w:val="28"/>
          <w:highlight w:val="white"/>
        </w:rPr>
        <w:t xml:space="preserve">с постановлением Правительства Российской Федерации от 30 апреля 2020 г. № 617 «Об ограничениях допуска отдельных видов промышленных товаров, происходящих из иностранных государств, для целей осуществления закупок </w:t>
      </w:r>
      <w:r>
        <w:rPr>
          <w:sz w:val="28"/>
          <w:szCs w:val="28"/>
          <w:highlight w:val="white"/>
        </w:rPr>
        <w:br/>
        <w:t xml:space="preserve">для обеспечения государственных и муниципальных нужд» в контракт включа</w:t>
      </w:r>
      <w:r>
        <w:rPr>
          <w:sz w:val="28"/>
          <w:szCs w:val="28"/>
          <w:highlight w:val="white"/>
        </w:rPr>
        <w:t xml:space="preserve">ю</w:t>
      </w:r>
      <w:r>
        <w:rPr>
          <w:sz w:val="28"/>
          <w:szCs w:val="28"/>
          <w:highlight w:val="white"/>
        </w:rPr>
        <w:t xml:space="preserve">тся </w:t>
      </w:r>
      <w:r>
        <w:rPr>
          <w:sz w:val="28"/>
          <w:szCs w:val="28"/>
          <w:highlight w:val="white"/>
        </w:rPr>
        <w:t xml:space="preserve">номера реестровых записей и совокупное количество баллов </w:t>
        <w:br/>
        <w:t xml:space="preserve">(при наличии) о поставляемом товаре, которые указаны (продекларированы) в составе заявки на участие </w:t>
      </w:r>
      <w:r>
        <w:rPr>
          <w:sz w:val="28"/>
          <w:szCs w:val="28"/>
          <w:highlight w:val="white"/>
        </w:rPr>
        <w:t xml:space="preserve">в закупке</w:t>
      </w:r>
      <w:r>
        <w:rPr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418" w:right="567" w:bottom="1134" w:left="1985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856"/>
        <w:rPr>
          <w:i/>
        </w:rPr>
      </w:pPr>
      <w:r>
        <w:rPr>
          <w:rStyle w:val="858"/>
        </w:rPr>
        <w:footnoteRef/>
      </w:r>
      <w:r>
        <w:t xml:space="preserve"> </w:t>
      </w:r>
      <w:r>
        <w:rPr>
          <w:i/>
        </w:rPr>
        <w:t xml:space="preserve">Не заполняется заказчиком. Реестровый номер закупки будет указан уполномоченным органом.</w:t>
      </w:r>
      <w:r/>
    </w:p>
  </w:footnote>
  <w:footnote w:id="3">
    <w:p>
      <w:pPr>
        <w:pStyle w:val="856"/>
        <w:jc w:val="both"/>
      </w:pPr>
      <w:r>
        <w:rPr>
          <w:rStyle w:val="858"/>
        </w:rPr>
        <w:footnoteRef/>
      </w:r>
      <w:r>
        <w:t xml:space="preserve"> </w:t>
      </w:r>
      <w:r>
        <w:rPr>
          <w:i/>
        </w:rPr>
        <w:t xml:space="preserve">Муниципальные органы и муниципальные казенные учреждения представляют проект муниципального контракта.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171019085"/>
      <w:docPartObj>
        <w:docPartGallery w:val="Page Numbers (Top of Page)"/>
        <w:docPartUnique w:val="true"/>
      </w:docPartObj>
      <w:rPr/>
    </w:sdtPr>
    <w:sdtContent>
      <w:p>
        <w:pPr>
          <w:pStyle w:val="862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9</w:t>
        </w:r>
        <w:r>
          <w:rPr>
            <w:sz w:val="28"/>
            <w:szCs w:val="28"/>
          </w:rP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61"/>
      <w:isLgl w:val="false"/>
      <w:suff w:val="tab"/>
      <w:lvlText w:val="%1."/>
      <w:lvlJc w:val="center"/>
      <w:pPr>
        <w:ind w:left="612" w:hanging="324"/>
        <w:tabs>
          <w:tab w:val="num" w:pos="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2"/>
    <w:next w:val="852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3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2"/>
    <w:next w:val="852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3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2"/>
    <w:next w:val="852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basedOn w:val="853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2"/>
    <w:next w:val="852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basedOn w:val="853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2"/>
    <w:next w:val="852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53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2"/>
    <w:next w:val="852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53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2"/>
    <w:next w:val="852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53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2"/>
    <w:next w:val="852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53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2"/>
    <w:next w:val="852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53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52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pPr>
      <w:spacing w:before="0" w:after="0" w:line="240" w:lineRule="auto"/>
    </w:pPr>
  </w:style>
  <w:style w:type="paragraph" w:styleId="698">
    <w:name w:val="Title"/>
    <w:basedOn w:val="852"/>
    <w:next w:val="852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basedOn w:val="853"/>
    <w:link w:val="698"/>
    <w:uiPriority w:val="10"/>
    <w:rPr>
      <w:sz w:val="48"/>
      <w:szCs w:val="48"/>
    </w:rPr>
  </w:style>
  <w:style w:type="paragraph" w:styleId="700">
    <w:name w:val="Subtitle"/>
    <w:basedOn w:val="852"/>
    <w:next w:val="852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basedOn w:val="853"/>
    <w:link w:val="700"/>
    <w:uiPriority w:val="11"/>
    <w:rPr>
      <w:sz w:val="24"/>
      <w:szCs w:val="24"/>
    </w:rPr>
  </w:style>
  <w:style w:type="paragraph" w:styleId="702">
    <w:name w:val="Quote"/>
    <w:basedOn w:val="852"/>
    <w:next w:val="852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2"/>
    <w:next w:val="852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character" w:styleId="706">
    <w:name w:val="Header Char"/>
    <w:basedOn w:val="853"/>
    <w:link w:val="862"/>
    <w:uiPriority w:val="99"/>
  </w:style>
  <w:style w:type="character" w:styleId="707">
    <w:name w:val="Footer Char"/>
    <w:basedOn w:val="853"/>
    <w:link w:val="864"/>
    <w:uiPriority w:val="99"/>
  </w:style>
  <w:style w:type="paragraph" w:styleId="708">
    <w:name w:val="Caption"/>
    <w:basedOn w:val="852"/>
    <w:next w:val="8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708"/>
    <w:link w:val="864"/>
    <w:uiPriority w:val="99"/>
  </w:style>
  <w:style w:type="table" w:styleId="710">
    <w:name w:val="Table Grid"/>
    <w:basedOn w:val="85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0">
    <w:name w:val="List Table 7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1">
    <w:name w:val="List Table 7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2">
    <w:name w:val="List Table 7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3">
    <w:name w:val="List Table 7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4">
    <w:name w:val="List Table 7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5">
    <w:name w:val="Lined - Accent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7">
    <w:name w:val="Lined - Accent 2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8">
    <w:name w:val="Lined - Accent 3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9">
    <w:name w:val="Lined - Accent 4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0">
    <w:name w:val="Lined - Accent 5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1">
    <w:name w:val="Lined - Accent 6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2">
    <w:name w:val="Bordered &amp; Lined - Accent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4">
    <w:name w:val="Bordered &amp; Lined - Accent 2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5">
    <w:name w:val="Bordered &amp; Lined - Accent 3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6">
    <w:name w:val="Bordered &amp; Lined - Accent 4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7">
    <w:name w:val="Bordered &amp; Lined - Accent 5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8">
    <w:name w:val="Bordered &amp; Lined - Accent 6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9">
    <w:name w:val="Bordered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character" w:styleId="837">
    <w:name w:val="Footnote Text Char"/>
    <w:link w:val="856"/>
    <w:uiPriority w:val="99"/>
    <w:rPr>
      <w:sz w:val="18"/>
    </w:rPr>
  </w:style>
  <w:style w:type="paragraph" w:styleId="838">
    <w:name w:val="endnote text"/>
    <w:basedOn w:val="852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>
    <w:name w:val="Endnote Text Char"/>
    <w:link w:val="838"/>
    <w:uiPriority w:val="99"/>
    <w:rPr>
      <w:sz w:val="20"/>
    </w:rPr>
  </w:style>
  <w:style w:type="character" w:styleId="840">
    <w:name w:val="endnote reference"/>
    <w:basedOn w:val="853"/>
    <w:uiPriority w:val="99"/>
    <w:semiHidden/>
    <w:unhideWhenUsed/>
    <w:rPr>
      <w:vertAlign w:val="superscript"/>
    </w:rPr>
  </w:style>
  <w:style w:type="paragraph" w:styleId="841">
    <w:name w:val="toc 1"/>
    <w:basedOn w:val="852"/>
    <w:next w:val="852"/>
    <w:uiPriority w:val="39"/>
    <w:unhideWhenUsed/>
    <w:pPr>
      <w:ind w:left="0" w:right="0" w:firstLine="0"/>
      <w:spacing w:after="57"/>
    </w:pPr>
  </w:style>
  <w:style w:type="paragraph" w:styleId="842">
    <w:name w:val="toc 2"/>
    <w:basedOn w:val="852"/>
    <w:next w:val="852"/>
    <w:uiPriority w:val="39"/>
    <w:unhideWhenUsed/>
    <w:pPr>
      <w:ind w:left="283" w:right="0" w:firstLine="0"/>
      <w:spacing w:after="57"/>
    </w:pPr>
  </w:style>
  <w:style w:type="paragraph" w:styleId="843">
    <w:name w:val="toc 3"/>
    <w:basedOn w:val="852"/>
    <w:next w:val="852"/>
    <w:uiPriority w:val="39"/>
    <w:unhideWhenUsed/>
    <w:pPr>
      <w:ind w:left="567" w:right="0" w:firstLine="0"/>
      <w:spacing w:after="57"/>
    </w:pPr>
  </w:style>
  <w:style w:type="paragraph" w:styleId="844">
    <w:name w:val="toc 4"/>
    <w:basedOn w:val="852"/>
    <w:next w:val="852"/>
    <w:uiPriority w:val="39"/>
    <w:unhideWhenUsed/>
    <w:pPr>
      <w:ind w:left="850" w:right="0" w:firstLine="0"/>
      <w:spacing w:after="57"/>
    </w:pPr>
  </w:style>
  <w:style w:type="paragraph" w:styleId="845">
    <w:name w:val="toc 5"/>
    <w:basedOn w:val="852"/>
    <w:next w:val="852"/>
    <w:uiPriority w:val="39"/>
    <w:unhideWhenUsed/>
    <w:pPr>
      <w:ind w:left="1134" w:right="0" w:firstLine="0"/>
      <w:spacing w:after="57"/>
    </w:pPr>
  </w:style>
  <w:style w:type="paragraph" w:styleId="846">
    <w:name w:val="toc 6"/>
    <w:basedOn w:val="852"/>
    <w:next w:val="852"/>
    <w:uiPriority w:val="39"/>
    <w:unhideWhenUsed/>
    <w:pPr>
      <w:ind w:left="1417" w:right="0" w:firstLine="0"/>
      <w:spacing w:after="57"/>
    </w:pPr>
  </w:style>
  <w:style w:type="paragraph" w:styleId="847">
    <w:name w:val="toc 7"/>
    <w:basedOn w:val="852"/>
    <w:next w:val="852"/>
    <w:uiPriority w:val="39"/>
    <w:unhideWhenUsed/>
    <w:pPr>
      <w:ind w:left="1701" w:right="0" w:firstLine="0"/>
      <w:spacing w:after="57"/>
    </w:pPr>
  </w:style>
  <w:style w:type="paragraph" w:styleId="848">
    <w:name w:val="toc 8"/>
    <w:basedOn w:val="852"/>
    <w:next w:val="852"/>
    <w:uiPriority w:val="39"/>
    <w:unhideWhenUsed/>
    <w:pPr>
      <w:ind w:left="1984" w:right="0" w:firstLine="0"/>
      <w:spacing w:after="57"/>
    </w:pPr>
  </w:style>
  <w:style w:type="paragraph" w:styleId="849">
    <w:name w:val="toc 9"/>
    <w:basedOn w:val="852"/>
    <w:next w:val="852"/>
    <w:uiPriority w:val="39"/>
    <w:unhideWhenUsed/>
    <w:pPr>
      <w:ind w:left="2268" w:right="0" w:firstLine="0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852"/>
    <w:next w:val="852"/>
    <w:uiPriority w:val="99"/>
    <w:unhideWhenUsed/>
    <w:pPr>
      <w:spacing w:after="0" w:afterAutospacing="0"/>
    </w:pPr>
  </w:style>
  <w:style w:type="paragraph" w:styleId="852" w:default="1">
    <w:name w:val="Normal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53" w:default="1">
    <w:name w:val="Default Paragraph Font"/>
    <w:uiPriority w:val="1"/>
    <w:semiHidden/>
    <w:unhideWhenUsed/>
  </w:style>
  <w:style w:type="table" w:styleId="85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5" w:default="1">
    <w:name w:val="No List"/>
    <w:uiPriority w:val="99"/>
    <w:semiHidden/>
    <w:unhideWhenUsed/>
  </w:style>
  <w:style w:type="paragraph" w:styleId="856">
    <w:name w:val="footnote text"/>
    <w:basedOn w:val="852"/>
    <w:link w:val="857"/>
    <w:semiHidden/>
    <w:pPr>
      <w:widowControl/>
    </w:pPr>
  </w:style>
  <w:style w:type="character" w:styleId="857" w:customStyle="1">
    <w:name w:val="Текст сноски Знак"/>
    <w:basedOn w:val="853"/>
    <w:link w:val="856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58">
    <w:name w:val="footnote reference"/>
    <w:uiPriority w:val="99"/>
    <w:semiHidden/>
    <w:rPr>
      <w:vertAlign w:val="superscript"/>
    </w:rPr>
  </w:style>
  <w:style w:type="paragraph" w:styleId="859" w:customStyle="1">
    <w:name w:val="ConsPlusNormal"/>
    <w:link w:val="860"/>
    <w:qFormat/>
    <w:pPr>
      <w:ind w:firstLine="720"/>
      <w:spacing w:after="0" w:line="240" w:lineRule="auto"/>
    </w:pPr>
    <w:rPr>
      <w:rFonts w:ascii="Arial" w:hAnsi="Arial" w:eastAsia="Arial" w:cs="Times New Roman"/>
      <w:sz w:val="20"/>
      <w:szCs w:val="20"/>
      <w:lang w:eastAsia="ar-SA"/>
    </w:rPr>
  </w:style>
  <w:style w:type="character" w:styleId="860" w:customStyle="1">
    <w:name w:val="ConsPlusNormal Знак"/>
    <w:link w:val="859"/>
    <w:rPr>
      <w:rFonts w:ascii="Arial" w:hAnsi="Arial" w:eastAsia="Arial" w:cs="Times New Roman"/>
      <w:sz w:val="20"/>
      <w:szCs w:val="20"/>
      <w:lang w:eastAsia="ar-SA"/>
    </w:rPr>
  </w:style>
  <w:style w:type="paragraph" w:styleId="861" w:customStyle="1">
    <w:name w:val="Стиль1"/>
    <w:basedOn w:val="852"/>
    <w:pPr>
      <w:numPr>
        <w:numId w:val="1"/>
      </w:numPr>
      <w:keepLines/>
      <w:keepNext/>
      <w:spacing w:after="60"/>
      <w:suppressLineNumbers/>
    </w:pPr>
    <w:rPr>
      <w:b/>
      <w:sz w:val="28"/>
      <w:szCs w:val="24"/>
    </w:rPr>
  </w:style>
  <w:style w:type="paragraph" w:styleId="862">
    <w:name w:val="Header"/>
    <w:basedOn w:val="852"/>
    <w:link w:val="86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3" w:customStyle="1">
    <w:name w:val="Верхний колонтитул Знак"/>
    <w:basedOn w:val="853"/>
    <w:link w:val="862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64">
    <w:name w:val="Footer"/>
    <w:basedOn w:val="852"/>
    <w:link w:val="86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5" w:customStyle="1">
    <w:name w:val="Нижний колонтитул Знак"/>
    <w:basedOn w:val="853"/>
    <w:link w:val="864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66">
    <w:name w:val="Balloon Text"/>
    <w:basedOn w:val="852"/>
    <w:link w:val="86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67" w:customStyle="1">
    <w:name w:val="Текст выноски Знак"/>
    <w:basedOn w:val="853"/>
    <w:link w:val="866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consultantplus://offline/ref=C4028078A17046D9C00FC91BF51D49D6B8101B777AF5CE02F65F5151285B556C5FA259301ABF53031F36517737F730C1469DC5D0F057i6P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797DE-EFED-471B-9076-C23507D85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Р7-Офис/7.2.2.40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Дерновая Татьяна Олеговна</dc:creator>
  <cp:keywords/>
  <dc:description/>
  <cp:revision>17</cp:revision>
  <dcterms:created xsi:type="dcterms:W3CDTF">2022-01-11T13:29:00Z</dcterms:created>
  <dcterms:modified xsi:type="dcterms:W3CDTF">2024-01-11T13:13:13Z</dcterms:modified>
</cp:coreProperties>
</file>