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«Выдача акта приемочной комиссии о завершении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1</w:t>
      </w: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.201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58</w:t>
      </w:r>
      <w:r>
        <w:rPr>
          <w:rFonts w:ascii="Times New Roman" w:hAnsi="Times New Roman"/>
          <w:sz w:val="28"/>
          <w:szCs w:val="28"/>
          <w:lang w:eastAsia="ru-RU"/>
        </w:rPr>
        <w:t xml:space="preserve">-од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Жилищным кодексом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11.01.2023 № 25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в муниципальном образовании города Ставрополя Ставропольского края»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протестом </w:t>
      </w:r>
      <w:r>
        <w:rPr>
          <w:rFonts w:ascii="Times New Roman" w:hAnsi="Times New Roman"/>
          <w:sz w:val="28"/>
          <w:szCs w:val="28"/>
        </w:rPr>
        <w:t xml:space="preserve">заместителя прокурора города Ставрополя от </w:t>
      </w:r>
      <w:r>
        <w:rPr>
          <w:rFonts w:ascii="Times New Roman" w:hAnsi="Times New Roman" w:eastAsia="Calibri"/>
          <w:sz w:val="28"/>
          <w:szCs w:val="28"/>
        </w:rPr>
        <w:t xml:space="preserve">08.12.2022 № 7-01-2022/Прдп43</w:t>
      </w:r>
      <w:r>
        <w:rPr>
          <w:rFonts w:ascii="Times New Roman" w:hAnsi="Times New Roman" w:eastAsia="Calibri"/>
          <w:sz w:val="28"/>
          <w:szCs w:val="28"/>
        </w:rPr>
        <w:t xml:space="preserve">-22-20070039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pStyle w:val="86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Утвердить прилагаемые изменения, 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«Выдача акта приемочной комисс</w:t>
      </w:r>
      <w:r>
        <w:rPr>
          <w:rFonts w:ascii="Times New Roman" w:hAnsi="Times New Roman"/>
          <w:sz w:val="28"/>
          <w:szCs w:val="28"/>
          <w:lang w:eastAsia="ru-RU"/>
        </w:rPr>
        <w:t xml:space="preserve">ии о завершении переустройства и (или) перепланировки помещения в многоквартирном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16.09.2015 № 58-од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6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pStyle w:val="868"/>
        <w:numPr>
          <w:ilvl w:val="0"/>
          <w:numId w:val="6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А.В. Уваров</w:t>
      </w:r>
      <w:bookmarkStart w:id="0" w:name="_GoBack"/>
      <w:r/>
      <w:bookmarkEnd w:id="0"/>
      <w:r/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3"/>
        <w:ind w:left="6096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609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3"/>
        <w:ind w:left="609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096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                     №      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jc w:val="center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«Выдача акта приемочной комисс</w:t>
      </w:r>
      <w:r>
        <w:rPr>
          <w:rFonts w:ascii="Times New Roman" w:hAnsi="Times New Roman"/>
          <w:sz w:val="28"/>
          <w:szCs w:val="28"/>
          <w:lang w:eastAsia="ru-RU"/>
        </w:rPr>
        <w:t xml:space="preserve">ии о завершении переустройства и (или) перепланировки помещения в многоквартирном доме»,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 16.09.2015 № 58-од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68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ind w:lef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одпункт 3 пункта 17 дополнить подпунктом «д» следующего содержания: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«д) предоставления на бумажном носителе документов и информации, электронные </w:t>
      </w:r>
      <w:r>
        <w:rPr>
          <w:rFonts w:ascii="Times New Roman" w:hAnsi="Times New Roman" w:eastAsia="Calibri"/>
          <w:sz w:val="28"/>
          <w:szCs w:val="28"/>
        </w:rPr>
        <w:t xml:space="preserve">образы</w:t>
      </w:r>
      <w:r>
        <w:rPr>
          <w:rFonts w:ascii="Times New Roman" w:hAnsi="Times New Roman" w:eastAsia="Calibri"/>
          <w:sz w:val="28"/>
          <w:szCs w:val="28"/>
        </w:rPr>
        <w:t xml:space="preserve"> которых ранее были заверены в соответствии </w:t>
      </w:r>
      <w:r>
        <w:rPr>
          <w:rFonts w:ascii="Times New Roman" w:hAnsi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Fonts w:ascii="Times New Roman" w:hAnsi="Times New Roman" w:eastAsia="Calibri"/>
            <w:sz w:val="28"/>
            <w:szCs w:val="28"/>
            <w:lang w:eastAsia="ru-RU"/>
          </w:rPr>
          <w:t xml:space="preserve">пунктом 7.2 части 1 статьи 16</w:t>
        </w:r>
      </w:hyperlink>
      <w:r>
        <w:rPr>
          <w:rFonts w:ascii="Times New Roman" w:hAnsi="Times New Roman" w:eastAsia="Calibri"/>
          <w:sz w:val="28"/>
          <w:szCs w:val="28"/>
          <w:lang w:eastAsia="ru-RU"/>
        </w:rPr>
        <w:t xml:space="preserve"> Ф</w:t>
      </w:r>
      <w:r>
        <w:rPr>
          <w:rFonts w:ascii="Times New Roman" w:hAnsi="Times New Roman" w:eastAsia="Calibri"/>
          <w:sz w:val="28"/>
          <w:szCs w:val="28"/>
        </w:rPr>
        <w:t xml:space="preserve">едерального закона от 27 июля 2010 г. </w:t>
      </w:r>
      <w:r>
        <w:rPr>
          <w:rFonts w:ascii="Times New Roman" w:hAnsi="Times New Roman" w:eastAsia="Calibri"/>
          <w:sz w:val="28"/>
          <w:szCs w:val="28"/>
        </w:rPr>
        <w:br/>
        <w:t xml:space="preserve">№ 210-ФЗ «Об организации пр</w:t>
      </w:r>
      <w:r>
        <w:rPr>
          <w:rFonts w:ascii="Times New Roman" w:hAnsi="Times New Roman" w:eastAsia="Calibri"/>
          <w:sz w:val="28"/>
          <w:szCs w:val="28"/>
        </w:rPr>
        <w:t xml:space="preserve">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pStyle w:val="868"/>
        <w:ind w:left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Д</w:t>
      </w:r>
      <w:r>
        <w:rPr>
          <w:rFonts w:ascii="Times New Roman" w:hAnsi="Times New Roman"/>
          <w:sz w:val="28"/>
          <w:szCs w:val="28"/>
        </w:rPr>
        <w:t xml:space="preserve">ополнить пунктом 17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Calibri"/>
        </w:rPr>
      </w:pPr>
      <w:r>
        <w:rPr>
          <w:rFonts w:ascii="Times New Roman" w:hAnsi="Times New Roman" w:eastAsia="Calibri"/>
          <w:sz w:val="28"/>
          <w:szCs w:val="28"/>
        </w:rPr>
        <w:t xml:space="preserve">«17</w:t>
      </w:r>
      <w:r>
        <w:rPr>
          <w:rFonts w:ascii="Times New Roman" w:hAnsi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Calibri"/>
          <w:sz w:val="28"/>
          <w:szCs w:val="28"/>
        </w:rPr>
        <w:t xml:space="preserve">. Случаи и порядок предоставления муниципальной услуги в упреждающем (</w:t>
      </w:r>
      <w:r>
        <w:rPr>
          <w:rFonts w:ascii="Times New Roman" w:hAnsi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eastAsia="Calibri"/>
          <w:sz w:val="28"/>
          <w:szCs w:val="28"/>
        </w:rPr>
        <w:t xml:space="preserve">.». 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39: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первый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«39. При поступлении в Комитет в электронной форме заявления и необходимых для предоставления услуги документов, подписанных электронной подпи</w:t>
      </w:r>
      <w:r>
        <w:rPr>
          <w:rFonts w:ascii="Times New Roman" w:hAnsi="Times New Roman"/>
          <w:sz w:val="28"/>
          <w:szCs w:val="28"/>
          <w:lang w:eastAsia="ru-RU"/>
        </w:rPr>
        <w:t xml:space="preserve">сью, специалист отдела технической подготовки документов в области градостроительства Комитета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авлении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документов, в случае если они поступили в период рабоче</w:t>
      </w:r>
      <w:r>
        <w:rPr>
          <w:rFonts w:ascii="Times New Roman" w:hAnsi="Times New Roman"/>
          <w:sz w:val="28"/>
          <w:szCs w:val="28"/>
          <w:lang w:eastAsia="ru-RU"/>
        </w:rPr>
        <w:t xml:space="preserve">го времени. После проведения проверки действительности электронной подписи специалист отдела технической подготовки документов в области градостроительства Комитета регистрирует заявление посредством внесения данных в соответствующую информационную систему</w:t>
      </w:r>
      <w:r>
        <w:rPr>
          <w:rFonts w:ascii="Times New Roman" w:hAnsi="Times New Roman"/>
          <w:sz w:val="28"/>
          <w:szCs w:val="28"/>
          <w:lang w:eastAsia="ru-RU"/>
        </w:rPr>
        <w:t xml:space="preserve">, указанную в пу</w:t>
      </w:r>
      <w:r>
        <w:rPr>
          <w:rFonts w:ascii="Times New Roman" w:hAnsi="Times New Roman"/>
          <w:sz w:val="28"/>
          <w:szCs w:val="28"/>
          <w:lang w:eastAsia="ru-RU"/>
        </w:rPr>
        <w:t xml:space="preserve">нкте 23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поступления указанных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документов в нерабочее время, выходные или праздничные дни проверка действительности электронной подписи, </w:t>
      </w:r>
      <w:r>
        <w:rPr>
          <w:rFonts w:ascii="Times New Roman" w:hAnsi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регистрация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соответствующей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ционной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осуществляются в первый рабочий день, следующий за днем поступления указанных заявления и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второй признать утратившим силу;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четвертый дополнить словами «либо уполномоченному лицу»;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абзац пятый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после слов «Заместитель главы администрации города Ставрополя, руководитель Комитета» дополнить сло</w:t>
      </w:r>
      <w:r>
        <w:rPr>
          <w:rFonts w:ascii="Times New Roman" w:hAnsi="Times New Roman"/>
          <w:sz w:val="28"/>
          <w:szCs w:val="28"/>
          <w:lang w:eastAsia="ru-RU"/>
        </w:rPr>
        <w:t xml:space="preserve">вами «либо уполномоченное лицо».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 52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«52. Основанием для начала административной процедуры является поступление в Комитет заявления о предоставлении услуги и документов, указанных в пунктах 14, 16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течение 15 дней со дня поступления заявления и документов, указанных в пунктах 14, 16 Административного регламента: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ведущий инженер отдела технической подготовки документов в области градостроительства Комитета: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 обеспечивает проведение проверки наличия документов, прилагаемых к заявлению, их соответствия требованиям действующего законодательства;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 обеспечивает проведение проверки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перепланируемого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жилого помещения в многоквартирном доме;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 составляет заключение по результатам проверки и передает его вместе с документами, указанными в пунктах 14 и 16 Административного регламента, секретарю приемочной комиссии.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руководитель отдела капитального строительства Комитета обеспечивает проверку соответствия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перепланируемого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</w:t>
      </w:r>
      <w:r>
        <w:rPr>
          <w:rFonts w:ascii="Times New Roman" w:hAnsi="Times New Roman"/>
          <w:sz w:val="28"/>
          <w:szCs w:val="28"/>
          <w:lang w:eastAsia="ru-RU"/>
        </w:rPr>
        <w:t xml:space="preserve">ещения путем осмотра, составление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осмотра, по форме, приведенной в приложении 9 к Админис</w:t>
      </w:r>
      <w:r>
        <w:rPr>
          <w:rFonts w:ascii="Times New Roman" w:hAnsi="Times New Roman"/>
          <w:sz w:val="28"/>
          <w:szCs w:val="28"/>
          <w:lang w:eastAsia="ru-RU"/>
        </w:rPr>
        <w:t xml:space="preserve">тративному регламенту и передачу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секретарю приемочной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комиссии.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Осмотр помещения осуществляется по согласованию с собственником помещения и в его присутствии.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Ответственность за достоверность проведенного осмотра и полноту составления акта несут руководитель отдела капитального строительства Комитета и специалист отдела капитального строительства Комитета, проводивший осмотр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>
        <w:rPr>
          <w:rFonts w:ascii="Times New Roman" w:hAnsi="Times New Roman"/>
          <w:sz w:val="28"/>
          <w:szCs w:val="28"/>
          <w:lang w:eastAsia="ru-RU"/>
        </w:rPr>
        <w:t xml:space="preserve">53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«53</w:t>
      </w:r>
      <w:r>
        <w:rPr>
          <w:rFonts w:ascii="Times New Roman" w:hAnsi="Times New Roman"/>
          <w:sz w:val="28"/>
          <w:szCs w:val="28"/>
          <w:lang w:eastAsia="ru-RU"/>
        </w:rPr>
        <w:t xml:space="preserve">. Секретарь приемочной комиссии в течение 5 рабочих дней со дня поступления документов, предусмотренных пунктом 52: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организует рассмотрение приемочной 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документов, указанных в пунктах 14, 16, 52 Административного регламента;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приемочной комиссией заявления и документов, указанных в пунктах 14, 16, 52 Административного регламента,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подготовку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подписание приемочной комиссией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проекта акта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риемочной комиссии о завершении переустройства и (или) перепланировки помещения в многоквартирном доме при отсутствии оснований для отказа в предоставлении услуги, указанных в пункте 19 Административного регламента, либо проекта акта приемочной комиссии о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незавершении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переустройства и</w:t>
      </w:r>
      <w:r>
        <w:rPr>
          <w:rFonts w:ascii="Times New Roman" w:hAnsi="Times New Roman"/>
          <w:sz w:val="28"/>
          <w:szCs w:val="28"/>
          <w:lang w:eastAsia="ru-RU"/>
        </w:rPr>
        <w:t xml:space="preserve"> (или) перепланировки помещения в многоквартирном доме при наличии оснований для отказа в предоставлении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 передает подписанные проект акта приемочной комиссии о завершении переустройства и (или) перепланировки помещения в многоквартирном доме, либо проект акта приемочной комиссии о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незавершении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 в отдел капитального строительства для регистрации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ополнить пунктом 53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Подготовка проекта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проекта акта приемочной комиссии о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незавершении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заявителя в Комитет, 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в случае указания заявителем в заявлении, поступившем в электронном виде, о необходимости предоставления результата в бумажном виде – в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экземпляр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 в бумажном виде и в электронном виде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обращении заявителя в электронной форме – подготовка проектов актов в бумажном виде не осуществляется.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акта приемочной комиссии о завершении (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незавершении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) переустройства и (или) перепланировки помещения в многоквартирном доме приведена в приложении 7 к Административному регламенту.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Заявление, документы, предусмотренные пунктами 14, 16, 52 Административного регламента, акт приемочной комиссии о завершении переустройства и (или) перепланировки помещения в многоквартирном доме, акт приемочной комиссии о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незавершении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подлежат хранению в информационной системе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Комитета, указанной в пункте 23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форме электронных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течение срока, установленного действующим законодательством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ополнить пунктом 54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настоящей административной процедуры осуществляет: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ведущий инженер отдела технической подготовки документов в области градостроительства Комитета, в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мер, предусмотренных подпунктом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 пункта 52, пунктов 53, 53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регламента;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руководитель отдела капитального строительства Комитета, в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мер, предусмотренных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 пункта 52 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56 слова «в количестве трех экземпляров», «в одном экземпляре» исключить;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 56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56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. 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Заявителю, обратившемуся с заявлением о предоставлении муниципальной услуги в электронной форме, ре</w:t>
      </w:r>
      <w:r>
        <w:rPr>
          <w:rFonts w:ascii="Times New Roman" w:hAnsi="Times New Roman"/>
          <w:sz w:val="28"/>
          <w:szCs w:val="28"/>
          <w:lang w:eastAsia="ru-RU"/>
        </w:rPr>
        <w:t xml:space="preserve">зультат предоставления муниципальной услуги, указанный в пункте 11 Административного регламента, направляется в личный кабинет заявителя на Едином портале или Портале государственных и муниципальных услуг Ставропольского  края в виде электронного документа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подписанного усил</w:t>
      </w:r>
      <w:r>
        <w:rPr>
          <w:rFonts w:ascii="Times New Roman" w:hAnsi="Times New Roman"/>
          <w:sz w:val="28"/>
          <w:szCs w:val="28"/>
          <w:lang w:eastAsia="ru-RU"/>
        </w:rPr>
        <w:t xml:space="preserve">енными квалифицированными подписями председателя приемочной комиссии, заместителя председателя приемочной комиссии, членов приемочной комиссии.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57 слова «во втором экземпляре указанного документа, который остается» заменить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словами «в журнале регистрации».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ункт 64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дополнить абзацем вторым следующего содержания: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«Документ об исправлении допущенных опечаток и (или) ошибок в выданных документах принимается в форме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приказа заместителя главы администрации 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Ставрополя, руководителя комитета градостроительства администрации города Ставрополя в порядке и сроки процедуры, предусмотренной пунктом 39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регламента.».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8"/>
        <w:numPr>
          <w:ilvl w:val="0"/>
          <w:numId w:val="10"/>
        </w:num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Дополнить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приложением 9 «Форма акта осмотра помещения о соответствии (не соответствии)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перепланируемого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помещения»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приложению к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настоящему приказу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709"/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709"/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709"/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709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/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/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/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="240" w:lineRule="exact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  <w:sectPr>
          <w:footnotePr/>
          <w:endnotePr/>
          <w:type w:val="nextPage"/>
          <w:pgSz w:w="11906" w:h="16838" w:orient="portrait"/>
          <w:pgMar w:top="1418" w:right="567" w:bottom="709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/>
        <w:jc w:val="both"/>
        <w:spacing w:line="240" w:lineRule="exact"/>
        <w:tabs>
          <w:tab w:val="left" w:pos="709" w:leader="none"/>
        </w:tabs>
        <w:rPr>
          <w:rFonts w:ascii="Times New Roman" w:hAnsi="Times New Roman" w:eastAsia="Calibri"/>
          <w:lang w:eastAsia="ar-SA"/>
        </w:rPr>
      </w:pPr>
      <w:r>
        <w:rPr>
          <w:rFonts w:ascii="Times New Roman" w:hAnsi="Times New Roman" w:eastAsia="Calibri"/>
          <w:sz w:val="28"/>
          <w:szCs w:val="28"/>
          <w:lang w:eastAsia="ar-SA"/>
        </w:rPr>
        <w:t xml:space="preserve">Приложение </w:t>
      </w:r>
      <w:r>
        <w:rPr>
          <w:rFonts w:ascii="Times New Roman" w:hAnsi="Times New Roman" w:eastAsia="Calibri"/>
          <w:sz w:val="28"/>
          <w:szCs w:val="28"/>
          <w:lang w:eastAsia="ar-SA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приказу заместителя главы администрации города Ставрополя, руководителя </w:t>
      </w:r>
      <w:r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               №   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«Приложение 9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«Выдача акта приемочной комиссии о завершении переустройства и (или) перепланировки помещения в многоквартирном доме»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4920" w:firstLine="1"/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4920" w:firstLine="1"/>
        <w:jc w:val="right"/>
        <w:spacing w:after="0" w:line="240" w:lineRule="exact"/>
        <w:rPr>
          <w:rFonts w:ascii="Times New Roman" w:hAnsi="Times New Roman" w:eastAsia="Calibri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(ФОРМА)</w:t>
      </w:r>
      <w:r>
        <w:rPr>
          <w:rFonts w:ascii="Times New Roman" w:hAnsi="Times New Roman" w:eastAsia="Calibri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осмотра помещения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соответствии (не соответствии) 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перепланируемого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помещения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 20___ г.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Составлен</w:t>
      </w:r>
      <w:r>
        <w:rPr>
          <w:rFonts w:ascii="Times New Roman" w:hAnsi="Times New Roman"/>
          <w:sz w:val="28"/>
          <w:szCs w:val="28"/>
        </w:rPr>
        <w:t xml:space="preserve"> в связи с поступившим заявлением 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 заявителя)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________ № ___________ о предоставлении муниципальной услуги «</w:t>
      </w:r>
      <w:r>
        <w:rPr>
          <w:rFonts w:ascii="Times New Roman" w:hAnsi="Times New Roman"/>
          <w:sz w:val="28"/>
          <w:szCs w:val="28"/>
        </w:rPr>
        <w:t xml:space="preserve">Выдача акта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» по результатам проведенных работ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(переустройство и (или) перепланировка, перевод, иные работы)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помещения, расположенного по адресу: 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(адрес </w:t>
      </w:r>
      <w:r>
        <w:rPr>
          <w:rFonts w:ascii="Times New Roman" w:hAnsi="Times New Roman"/>
          <w:sz w:val="20"/>
          <w:szCs w:val="20"/>
        </w:rPr>
        <w:t xml:space="preserve">расположения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______________________, </w:t>
      </w:r>
      <w:r>
        <w:rPr>
          <w:rFonts w:ascii="Times New Roman" w:hAnsi="Times New Roman"/>
          <w:sz w:val="28"/>
          <w:szCs w:val="28"/>
        </w:rPr>
        <w:t xml:space="preserve">находящегося</w:t>
      </w:r>
      <w:r>
        <w:rPr>
          <w:rFonts w:ascii="Times New Roman" w:hAnsi="Times New Roman"/>
          <w:sz w:val="28"/>
          <w:szCs w:val="28"/>
        </w:rPr>
        <w:t xml:space="preserve"> в собственности ________________.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помещения)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(Ф.И.О. наименование юридического лица собственника)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Осмотр осуществлен _____________________________</w:t>
      </w:r>
      <w:r>
        <w:rPr>
          <w:rFonts w:ascii="Times New Roman" w:hAnsi="Times New Roman"/>
          <w:sz w:val="28"/>
          <w:szCs w:val="28"/>
        </w:rPr>
        <w:t xml:space="preserve">_________</w:t>
      </w:r>
      <w:r>
        <w:rPr>
          <w:rFonts w:ascii="Times New Roman" w:hAnsi="Times New Roman"/>
          <w:sz w:val="28"/>
          <w:szCs w:val="28"/>
        </w:rPr>
        <w:t xml:space="preserve">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(Ф.И.О. лица, проводившего осмотр помещения)</w:t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присутствии собственника </w:t>
      </w:r>
      <w:r>
        <w:rPr>
          <w:rFonts w:ascii="Times New Roman" w:hAnsi="Times New Roman"/>
          <w:sz w:val="28"/>
          <w:szCs w:val="28"/>
        </w:rPr>
        <w:t xml:space="preserve">(его представи</w:t>
      </w:r>
      <w:r>
        <w:rPr>
          <w:rFonts w:ascii="Times New Roman" w:hAnsi="Times New Roman"/>
          <w:sz w:val="28"/>
          <w:szCs w:val="28"/>
        </w:rPr>
        <w:t xml:space="preserve">теля) 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(указывается Ф.И.О собственника или представителя</w:t>
      </w:r>
      <w:r>
        <w:rPr>
          <w:rFonts w:ascii="Times New Roman" w:hAnsi="Times New Roman"/>
          <w:sz w:val="20"/>
          <w:szCs w:val="20"/>
        </w:rPr>
        <w:t xml:space="preserve"> и его подпись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результате осмотра выявлено: 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(описываются </w:t>
      </w:r>
      <w:r>
        <w:rPr>
          <w:rFonts w:ascii="Times New Roman" w:hAnsi="Times New Roman"/>
          <w:sz w:val="20"/>
          <w:szCs w:val="20"/>
          <w:lang w:eastAsia="ru-RU"/>
        </w:rPr>
        <w:t xml:space="preserve">произведенных работ по переустройству и (или) перепланировке и (или) иных работ проекту переустройства и (или) перепланировки переустраиваемого и (или) </w:t>
      </w:r>
      <w:r>
        <w:rPr>
          <w:rFonts w:ascii="Times New Roman" w:hAnsi="Times New Roman"/>
          <w:sz w:val="20"/>
          <w:szCs w:val="20"/>
          <w:lang w:eastAsia="ru-RU"/>
        </w:rPr>
        <w:t xml:space="preserve">перепланируемого</w:t>
      </w:r>
      <w:r>
        <w:rPr>
          <w:rFonts w:ascii="Times New Roman" w:hAnsi="Times New Roman"/>
          <w:sz w:val="20"/>
          <w:szCs w:val="20"/>
          <w:lang w:eastAsia="ru-RU"/>
        </w:rPr>
        <w:t xml:space="preserve"> помещения в многоквартирном доме либо проекту переустройства и (или) перепланировки переводимого помещения, с составлением фотоматериала каждого вида работ, предусмотренного проектом и конструктивного элемента им затронутого</w:t>
      </w:r>
      <w:r>
        <w:rPr>
          <w:rFonts w:ascii="Times New Roman" w:hAnsi="Times New Roman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Фотоматериал является приложением к акту и подписывается должностным лицом, проводившим осмотр</w:t>
      </w:r>
      <w:r>
        <w:rPr>
          <w:rFonts w:ascii="Times New Roman" w:hAnsi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Заключение__________________________________________________.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(</w:t>
      </w:r>
      <w:r>
        <w:rPr>
          <w:rFonts w:ascii="Times New Roman" w:hAnsi="Times New Roman"/>
          <w:sz w:val="20"/>
          <w:szCs w:val="20"/>
        </w:rPr>
        <w:t xml:space="preserve">указывается</w:t>
      </w:r>
      <w:r>
        <w:rPr>
          <w:rFonts w:ascii="Times New Roman" w:hAnsi="Times New Roman"/>
          <w:sz w:val="20"/>
          <w:szCs w:val="20"/>
        </w:rPr>
        <w:t xml:space="preserve"> соответствуют (не соответствуют) произведенные работы по переустройству и (или) перепланировке и (или) иные работы проекту переустройства и (или) перепланировки переустраиваемого и (или) </w:t>
      </w:r>
      <w:r>
        <w:rPr>
          <w:rFonts w:ascii="Times New Roman" w:hAnsi="Times New Roman"/>
          <w:sz w:val="20"/>
          <w:szCs w:val="20"/>
        </w:rPr>
        <w:t xml:space="preserve">перепланируемого</w:t>
      </w:r>
      <w:r>
        <w:rPr>
          <w:rFonts w:ascii="Times New Roman" w:hAnsi="Times New Roman"/>
          <w:sz w:val="20"/>
          <w:szCs w:val="20"/>
        </w:rPr>
        <w:t xml:space="preserve"> помещения в многоквартирном доме либо проекту переустройства и (или) перепланировки переводимого помещения)</w:t>
      </w:r>
      <w:r>
        <w:rPr>
          <w:rFonts w:ascii="Times New Roman" w:hAnsi="Times New Roman"/>
          <w:sz w:val="20"/>
          <w:szCs w:val="20"/>
        </w:rPr>
      </w:r>
      <w:r/>
    </w:p>
    <w:tbl>
      <w:tblPr>
        <w:tblStyle w:val="872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369"/>
        <w:gridCol w:w="283"/>
        <w:gridCol w:w="2492"/>
        <w:gridCol w:w="236"/>
        <w:gridCol w:w="2942"/>
        <w:gridCol w:w="248"/>
      </w:tblGrid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(должность)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4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(Ф.И.О специалиста)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8" w:right="567" w:bottom="426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4"/>
        <w:rFonts w:ascii="Times New Roman" w:hAnsi="Times New Roman"/>
        <w:sz w:val="28"/>
        <w:szCs w:val="28"/>
      </w:rPr>
      <w:framePr w:wrap="around" w:vAnchor="text" w:hAnchor="margin" w:xAlign="center" w:y="1"/>
    </w:pPr>
    <w:r>
      <w:rPr>
        <w:rStyle w:val="864"/>
        <w:rFonts w:ascii="Times New Roman" w:hAnsi="Times New Roman"/>
        <w:sz w:val="28"/>
        <w:szCs w:val="28"/>
      </w:rPr>
      <w:fldChar w:fldCharType="begin"/>
    </w:r>
    <w:r>
      <w:rPr>
        <w:rStyle w:val="864"/>
        <w:rFonts w:ascii="Times New Roman" w:hAnsi="Times New Roman"/>
        <w:sz w:val="28"/>
        <w:szCs w:val="28"/>
      </w:rPr>
      <w:instrText xml:space="preserve">PAGE  </w:instrText>
    </w:r>
    <w:r>
      <w:rPr>
        <w:rStyle w:val="864"/>
        <w:rFonts w:ascii="Times New Roman" w:hAnsi="Times New Roman"/>
        <w:sz w:val="28"/>
        <w:szCs w:val="28"/>
      </w:rPr>
      <w:fldChar w:fldCharType="separate"/>
    </w:r>
    <w:r>
      <w:rPr>
        <w:rStyle w:val="864"/>
        <w:rFonts w:ascii="Times New Roman" w:hAnsi="Times New Roman"/>
        <w:sz w:val="28"/>
        <w:szCs w:val="28"/>
      </w:rPr>
      <w:t xml:space="preserve">2</w:t>
    </w:r>
    <w:r>
      <w:rPr>
        <w:rStyle w:val="864"/>
        <w:rFonts w:ascii="Times New Roman" w:hAnsi="Times New Roman"/>
        <w:sz w:val="28"/>
        <w:szCs w:val="28"/>
      </w:rPr>
      <w:fldChar w:fldCharType="end"/>
    </w:r>
    <w:r/>
  </w:p>
  <w:p>
    <w:pPr>
      <w:pStyle w:val="86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rPr>
        <w:rStyle w:val="864"/>
      </w:rPr>
      <w:framePr w:wrap="around" w:vAnchor="text" w:hAnchor="margin" w:xAlign="center" w:y="1"/>
    </w:pPr>
    <w:r>
      <w:rPr>
        <w:rStyle w:val="864"/>
      </w:rPr>
      <w:fldChar w:fldCharType="begin"/>
    </w:r>
    <w:r>
      <w:rPr>
        <w:rStyle w:val="864"/>
      </w:rPr>
      <w:instrText xml:space="preserve">PAGE  </w:instrText>
    </w:r>
    <w:r>
      <w:rPr>
        <w:rStyle w:val="864"/>
      </w:rPr>
      <w:fldChar w:fldCharType="end"/>
    </w:r>
    <w:r/>
  </w:p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8"/>
    <w:next w:val="858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7">
    <w:name w:val="Heading 1 Char"/>
    <w:basedOn w:val="860"/>
    <w:link w:val="686"/>
    <w:uiPriority w:val="9"/>
    <w:rPr>
      <w:rFonts w:ascii="Arial" w:hAnsi="Arial" w:cs="Arial" w:eastAsia="Arial"/>
      <w:sz w:val="40"/>
      <w:szCs w:val="40"/>
    </w:rPr>
  </w:style>
  <w:style w:type="paragraph" w:styleId="688">
    <w:name w:val="Heading 2"/>
    <w:basedOn w:val="858"/>
    <w:next w:val="858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9">
    <w:name w:val="Heading 2 Char"/>
    <w:basedOn w:val="860"/>
    <w:link w:val="688"/>
    <w:uiPriority w:val="9"/>
    <w:rPr>
      <w:rFonts w:ascii="Arial" w:hAnsi="Arial" w:cs="Arial" w:eastAsia="Arial"/>
      <w:sz w:val="34"/>
    </w:rPr>
  </w:style>
  <w:style w:type="character" w:styleId="690">
    <w:name w:val="Heading 3 Char"/>
    <w:basedOn w:val="860"/>
    <w:link w:val="859"/>
    <w:uiPriority w:val="9"/>
    <w:rPr>
      <w:rFonts w:ascii="Arial" w:hAnsi="Arial" w:cs="Arial" w:eastAsia="Arial"/>
      <w:sz w:val="30"/>
      <w:szCs w:val="30"/>
    </w:rPr>
  </w:style>
  <w:style w:type="paragraph" w:styleId="691">
    <w:name w:val="Heading 4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92">
    <w:name w:val="Heading 4 Char"/>
    <w:basedOn w:val="860"/>
    <w:link w:val="691"/>
    <w:uiPriority w:val="9"/>
    <w:rPr>
      <w:rFonts w:ascii="Arial" w:hAnsi="Arial" w:cs="Arial" w:eastAsia="Arial"/>
      <w:b/>
      <w:bCs/>
      <w:sz w:val="26"/>
      <w:szCs w:val="26"/>
    </w:rPr>
  </w:style>
  <w:style w:type="paragraph" w:styleId="693">
    <w:name w:val="Heading 5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4">
    <w:name w:val="Heading 5 Char"/>
    <w:basedOn w:val="860"/>
    <w:link w:val="693"/>
    <w:uiPriority w:val="9"/>
    <w:rPr>
      <w:rFonts w:ascii="Arial" w:hAnsi="Arial" w:cs="Arial" w:eastAsia="Arial"/>
      <w:b/>
      <w:bCs/>
      <w:sz w:val="24"/>
      <w:szCs w:val="24"/>
    </w:rPr>
  </w:style>
  <w:style w:type="paragraph" w:styleId="695">
    <w:name w:val="Heading 6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6">
    <w:name w:val="Heading 6 Char"/>
    <w:basedOn w:val="860"/>
    <w:link w:val="695"/>
    <w:uiPriority w:val="9"/>
    <w:rPr>
      <w:rFonts w:ascii="Arial" w:hAnsi="Arial" w:cs="Arial" w:eastAsia="Arial"/>
      <w:b/>
      <w:bCs/>
      <w:sz w:val="22"/>
      <w:szCs w:val="22"/>
    </w:rPr>
  </w:style>
  <w:style w:type="paragraph" w:styleId="697">
    <w:name w:val="Heading 7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8">
    <w:name w:val="Heading 7 Char"/>
    <w:basedOn w:val="860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9">
    <w:name w:val="Heading 8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00">
    <w:name w:val="Heading 8 Char"/>
    <w:basedOn w:val="860"/>
    <w:link w:val="699"/>
    <w:uiPriority w:val="9"/>
    <w:rPr>
      <w:rFonts w:ascii="Arial" w:hAnsi="Arial" w:cs="Arial" w:eastAsia="Arial"/>
      <w:i/>
      <w:iCs/>
      <w:sz w:val="22"/>
      <w:szCs w:val="22"/>
    </w:rPr>
  </w:style>
  <w:style w:type="paragraph" w:styleId="701">
    <w:name w:val="Heading 9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2">
    <w:name w:val="Heading 9 Char"/>
    <w:basedOn w:val="860"/>
    <w:link w:val="701"/>
    <w:uiPriority w:val="9"/>
    <w:rPr>
      <w:rFonts w:ascii="Arial" w:hAnsi="Arial" w:cs="Arial" w:eastAsia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0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0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60"/>
    <w:link w:val="863"/>
    <w:uiPriority w:val="99"/>
  </w:style>
  <w:style w:type="character" w:styleId="713">
    <w:name w:val="Footer Char"/>
    <w:basedOn w:val="860"/>
    <w:link w:val="865"/>
    <w:uiPriority w:val="99"/>
  </w:style>
  <w:style w:type="paragraph" w:styleId="714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865"/>
    <w:uiPriority w:val="99"/>
  </w:style>
  <w:style w:type="table" w:styleId="716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59">
    <w:name w:val="Heading 3"/>
    <w:basedOn w:val="858"/>
    <w:link w:val="875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Header"/>
    <w:basedOn w:val="858"/>
    <w:link w:val="869"/>
    <w:uiPriority w:val="99"/>
    <w:pPr>
      <w:tabs>
        <w:tab w:val="center" w:pos="4677" w:leader="none"/>
        <w:tab w:val="right" w:pos="9355" w:leader="none"/>
      </w:tabs>
    </w:pPr>
  </w:style>
  <w:style w:type="character" w:styleId="864">
    <w:name w:val="page number"/>
    <w:basedOn w:val="860"/>
  </w:style>
  <w:style w:type="paragraph" w:styleId="865">
    <w:name w:val="Footer"/>
    <w:basedOn w:val="858"/>
    <w:pPr>
      <w:tabs>
        <w:tab w:val="center" w:pos="4677" w:leader="none"/>
        <w:tab w:val="right" w:pos="9355" w:leader="none"/>
      </w:tabs>
    </w:pPr>
  </w:style>
  <w:style w:type="paragraph" w:styleId="866">
    <w:name w:val="Balloon Text"/>
    <w:basedOn w:val="858"/>
    <w:semiHidden/>
    <w:rPr>
      <w:rFonts w:ascii="Tahoma" w:hAnsi="Tahoma" w:cs="Tahoma"/>
      <w:sz w:val="16"/>
      <w:szCs w:val="16"/>
    </w:rPr>
  </w:style>
  <w:style w:type="character" w:styleId="867">
    <w:name w:val="Hyperlink"/>
    <w:rPr>
      <w:color w:val="0000FF"/>
      <w:u w:val="single"/>
    </w:rPr>
  </w:style>
  <w:style w:type="paragraph" w:styleId="868">
    <w:name w:val="List Paragraph"/>
    <w:basedOn w:val="858"/>
    <w:uiPriority w:val="99"/>
    <w:qFormat/>
    <w:pPr>
      <w:contextualSpacing/>
      <w:ind w:left="720"/>
    </w:pPr>
    <w:rPr>
      <w:rFonts w:eastAsia="Calibri"/>
    </w:rPr>
  </w:style>
  <w:style w:type="character" w:styleId="869" w:customStyle="1">
    <w:name w:val="Верхний колонтитул Знак"/>
    <w:link w:val="863"/>
    <w:uiPriority w:val="99"/>
    <w:rPr>
      <w:rFonts w:ascii="Calibri" w:hAnsi="Calibri"/>
      <w:sz w:val="22"/>
      <w:szCs w:val="22"/>
      <w:lang w:eastAsia="en-US"/>
    </w:rPr>
  </w:style>
  <w:style w:type="paragraph" w:styleId="870" w:customStyle="1">
    <w:name w:val="Абзац списка1"/>
    <w:basedOn w:val="858"/>
    <w:pPr>
      <w:contextualSpacing/>
      <w:ind w:left="720"/>
    </w:pPr>
  </w:style>
  <w:style w:type="character" w:styleId="871" w:customStyle="1">
    <w:name w:val="blk"/>
    <w:rPr>
      <w:rFonts w:cs="Times New Roman"/>
    </w:rPr>
  </w:style>
  <w:style w:type="table" w:styleId="872">
    <w:name w:val="Table Grid"/>
    <w:basedOn w:val="861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74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875" w:customStyle="1">
    <w:name w:val="Заголовок 3 Знак"/>
    <w:basedOn w:val="860"/>
    <w:link w:val="859"/>
    <w:uiPriority w:val="9"/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18</cp:revision>
  <dcterms:created xsi:type="dcterms:W3CDTF">2022-11-28T11:52:00Z</dcterms:created>
  <dcterms:modified xsi:type="dcterms:W3CDTF">2023-01-27T07:36:10Z</dcterms:modified>
</cp:coreProperties>
</file>