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заявок на участие в аукционе на право заключения договора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(извещение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21000004960000000100)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07 февраля 2024 </w:t>
      </w:r>
      <w:r>
        <w:rPr>
          <w:rFonts w:ascii="Times New Roman" w:hAnsi="Times New Roman"/>
          <w:sz w:val="28"/>
        </w:rPr>
        <w:t xml:space="preserve">года                      г. Ставрополь                                        № 545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Начало: 14-00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9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0A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 право заключения договоров аренды в отношении муниципального имущества                                      города Ставрополя (далее - комиссия) провела процедуру рассмотрения заяв</w:t>
      </w:r>
      <w:r>
        <w:rPr>
          <w:rFonts w:ascii="Times New Roman" w:hAnsi="Times New Roman"/>
          <w:sz w:val="28"/>
        </w:rPr>
        <w:t xml:space="preserve">ок на участие в аукционе, объявленном на </w:t>
      </w:r>
      <w:r>
        <w:rPr>
          <w:rFonts w:ascii="Times New Roman" w:hAnsi="Times New Roman"/>
          <w:sz w:val="28"/>
        </w:rPr>
        <w:t xml:space="preserve">08 февраля 2024 года. Аукцион был объявлен на основании распоряжения комитета по управлению муниципальным имуществом города Ставрополя от 26.12.2023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№ 930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О проведении аукциона и утверждении доку</w:t>
      </w:r>
      <w:r>
        <w:rPr>
          <w:rFonts w:ascii="Times New Roman" w:hAnsi="Times New Roman"/>
          <w:sz w:val="28"/>
        </w:rPr>
        <w:t xml:space="preserve">ментации об аукционе на право заключения договора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Ставрополя».</w:t>
      </w:r>
    </w:p>
    <w:p w14:paraId="0B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Рассмотрение заявок на участие в аукционе проводилось комиссией        по адресу: город Ставрополь, пр</w:t>
      </w:r>
      <w:r>
        <w:rPr>
          <w:rFonts w:ascii="Times New Roman" w:hAnsi="Times New Roman"/>
          <w:sz w:val="28"/>
        </w:rPr>
        <w:t>оспект К. Маркса, 90 в следующем составе:</w:t>
      </w:r>
    </w:p>
    <w:p w14:paraId="0C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434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  <w:r>
              <w:rPr>
                <w:rFonts w:ascii="Times New Roman" w:hAnsi="Times New Roman"/>
                <w:sz w:val="28"/>
              </w:rPr>
              <w:t>Бенедюк</w:t>
            </w:r>
            <w:r>
              <w:rPr>
                <w:rFonts w:ascii="Times New Roman" w:hAnsi="Times New Roman"/>
                <w:sz w:val="28"/>
              </w:rPr>
              <w:t xml:space="preserve"> Нина Викторовна </w:t>
            </w:r>
          </w:p>
          <w:p w14:paraId="0E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нежилых об</w:t>
            </w:r>
            <w:r>
              <w:rPr>
                <w:rFonts w:ascii="Times New Roman" w:hAnsi="Times New Roman"/>
                <w:sz w:val="28"/>
              </w:rPr>
              <w:t>ъектов недвижимости комитета по управлению муниципальным имуществом города Ставрополя, председатель комиссии</w:t>
            </w:r>
          </w:p>
        </w:tc>
      </w:tr>
      <w:tr>
        <w:trPr>
          <w:trHeight w:hRule="atLeast" w:val="434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Галда</w:t>
            </w:r>
            <w:r>
              <w:rPr>
                <w:rFonts w:ascii="Times New Roman" w:hAnsi="Times New Roman"/>
                <w:sz w:val="28"/>
              </w:rPr>
              <w:t xml:space="preserve"> Ольга Александровна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муниципальных предприятий и учреждений комитета по управлению муниципальным имуществом</w:t>
            </w:r>
            <w:r>
              <w:rPr>
                <w:rFonts w:ascii="Times New Roman" w:hAnsi="Times New Roman"/>
                <w:sz w:val="28"/>
              </w:rPr>
              <w:t xml:space="preserve"> города Ставрополя, секретарь комиссии</w:t>
            </w:r>
          </w:p>
        </w:tc>
      </w:tr>
      <w:tr>
        <w:trPr>
          <w:trHeight w:hRule="atLeast" w:val="574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14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3"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18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rPr>
          <w:trHeight w:hRule="atLeast" w:val="369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Андросова Анна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учета и ведения реестра муниципального имущества комитета по управлению муниципальным имуществом </w:t>
            </w:r>
            <w:r>
              <w:rPr>
                <w:rFonts w:ascii="Times New Roman" w:hAnsi="Times New Roman"/>
                <w:sz w:val="28"/>
              </w:rPr>
              <w:t xml:space="preserve"> города Ставрополя</w:t>
            </w:r>
          </w:p>
        </w:tc>
      </w:tr>
      <w:tr>
        <w:trPr>
          <w:trHeight w:hRule="atLeast" w:val="1182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Заикина</w:t>
            </w:r>
            <w:r>
              <w:rPr>
                <w:rFonts w:ascii="Times New Roman" w:hAnsi="Times New Roman"/>
                <w:sz w:val="28"/>
              </w:rPr>
              <w:t xml:space="preserve"> Татьяна Владимировна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182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Холод Светлана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правового обеспечения  деятельности комитета по управлению  муниципальным имуществом города Ставрополя </w:t>
            </w:r>
          </w:p>
        </w:tc>
      </w:tr>
    </w:tbl>
    <w:p w14:paraId="22000000">
      <w:pPr>
        <w:spacing w:after="0" w:line="30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22.12.2023 № 917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 xml:space="preserve">О комиссии по проведению конкурсов и аукционов на право заключения договоров аренды в отношении муниципального имущества города Ставрополя».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Всего на заседании присутствовало 5 членов комиссии из 7, что составило 71,42 %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общего </w:t>
      </w:r>
      <w:r>
        <w:rPr>
          <w:rFonts w:ascii="Times New Roman" w:hAnsi="Times New Roman"/>
          <w:sz w:val="28"/>
        </w:rPr>
        <w:t>количества членов комиссии. Кворум имеется, заседание правомочно.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Извещение о проведении аукциона было размещено 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26.12.2023 года на официальном сайте Российской Федерации для размещения информации о</w:t>
      </w:r>
      <w:r>
        <w:rPr>
          <w:rFonts w:ascii="Times New Roman" w:hAnsi="Times New Roman"/>
          <w:sz w:val="28"/>
        </w:rPr>
        <w:t xml:space="preserve"> 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проведении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"https://torgi.gov.ru/new/private/notice/view/647c81a804128109198d5317"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21000004960000000100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 xml:space="preserve">., а также на </w:t>
      </w:r>
      <w:r>
        <w:rPr>
          <w:rFonts w:ascii="Times New Roman" w:hAnsi="Times New Roman"/>
          <w:sz w:val="28"/>
        </w:rPr>
        <w:t xml:space="preserve">электронной </w:t>
      </w:r>
      <w:r>
        <w:rPr>
          <w:rFonts w:ascii="Times New Roman" w:hAnsi="Times New Roman"/>
          <w:sz w:val="28"/>
          <w:highlight w:val="white"/>
        </w:rPr>
        <w:t>торговой площадк</w:t>
      </w:r>
      <w:r>
        <w:rPr>
          <w:rFonts w:ascii="Times New Roman" w:hAnsi="Times New Roman"/>
          <w:sz w:val="28"/>
          <w:highlight w:val="white"/>
        </w:rPr>
        <w:t>е</w:t>
      </w:r>
      <w:r>
        <w:rPr>
          <w:rFonts w:ascii="Times New Roman" w:hAnsi="Times New Roman"/>
          <w:sz w:val="28"/>
          <w:highlight w:val="white"/>
        </w:rPr>
        <w:t xml:space="preserve"> 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по адресу</w:t>
      </w:r>
      <w:r>
        <w:rPr>
          <w:rFonts w:ascii="Times New Roman" w:hAnsi="Times New Roman"/>
          <w:sz w:val="28"/>
        </w:rPr>
        <w:t xml:space="preserve"> в информа</w:t>
      </w:r>
      <w:r>
        <w:rPr>
          <w:rFonts w:ascii="Times New Roman" w:hAnsi="Times New Roman"/>
          <w:sz w:val="28"/>
        </w:rPr>
        <w:t xml:space="preserve">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с прилагаемыми к ним документами принимались организатором аукциона с 09 час. 00 мин. 27 декабря 2023 года до 18 час. 00 мин. 05 </w:t>
      </w:r>
      <w:r>
        <w:rPr>
          <w:rFonts w:ascii="Times New Roman" w:hAnsi="Times New Roman"/>
          <w:sz w:val="28"/>
        </w:rPr>
        <w:t xml:space="preserve">февраля 2024 года 00 мин. на </w:t>
      </w:r>
      <w:r>
        <w:rPr>
          <w:rFonts w:ascii="Times New Roman" w:hAnsi="Times New Roman"/>
          <w:sz w:val="28"/>
        </w:rPr>
        <w:t>а электронной торговой площадке «</w:t>
      </w:r>
      <w:r>
        <w:rPr>
          <w:rFonts w:ascii="Times New Roman" w:hAnsi="Times New Roman"/>
          <w:sz w:val="28"/>
        </w:rPr>
        <w:t>Росэлторг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highlight w:val="white"/>
        </w:rPr>
        <w:t>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https://178fz.roseltorg.ru.</w:t>
      </w:r>
      <w:r>
        <w:rPr>
          <w:rFonts w:ascii="Times New Roman" w:hAnsi="Times New Roman"/>
          <w:sz w:val="28"/>
        </w:rPr>
        <w:fldChar w:fldCharType="end"/>
      </w:r>
    </w:p>
    <w:p w14:paraId="28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имуществе, выставляемом на </w:t>
      </w:r>
      <w:r>
        <w:rPr>
          <w:rFonts w:ascii="Times New Roman" w:hAnsi="Times New Roman"/>
          <w:sz w:val="28"/>
        </w:rPr>
        <w:t xml:space="preserve">аукцион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2B000000">
      <w:pPr>
        <w:spacing w:after="0" w:line="240" w:lineRule="auto"/>
        <w:ind w:firstLine="0" w:left="-284"/>
        <w:jc w:val="center"/>
        <w:rPr>
          <w:rFonts w:ascii="Times New Roman" w:hAnsi="Times New Roman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75"/>
        <w:gridCol w:w="960"/>
        <w:gridCol w:w="1723"/>
        <w:gridCol w:w="1140"/>
        <w:gridCol w:w="1215"/>
      </w:tblGrid>
      <w:tr>
        <w:trPr>
          <w:trHeight w:hRule="atLeast" w:val="27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00000">
            <w:pPr>
              <w:spacing w:after="0" w:line="240" w:lineRule="auto"/>
              <w:ind w:firstLine="0"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67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33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</w:t>
            </w:r>
            <w:r>
              <w:rPr>
                <w:rFonts w:ascii="Times New Roman" w:hAnsi="Times New Roman"/>
              </w:rPr>
              <w:t xml:space="preserve">ия </w:t>
            </w:r>
          </w:p>
          <w:p w14:paraId="34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35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23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размере ежегодного платежа за пользование муниципальным </w:t>
            </w:r>
            <w:r>
              <w:rPr>
                <w:rFonts w:ascii="Times New Roman" w:hAnsi="Times New Roman"/>
              </w:rPr>
              <w:t>имуществом, с учетом НДС (руб.)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3A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(10 % </w:t>
            </w:r>
          </w:p>
          <w:p w14:paraId="3B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3E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40000000">
      <w:pPr>
        <w:spacing w:after="0" w:line="240" w:lineRule="auto"/>
        <w:ind w:firstLine="0" w:left="-284"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62"/>
        <w:gridCol w:w="962"/>
        <w:gridCol w:w="1740"/>
        <w:gridCol w:w="1140"/>
        <w:gridCol w:w="1200"/>
      </w:tblGrid>
      <w:tr>
        <w:trPr>
          <w:trHeight w:hRule="atLeast" w:val="665"/>
        </w:trPr>
        <w:tc>
          <w:tcPr>
            <w:tcW w:type="dxa" w:w="5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№№ 13-18, 22-24, 27-29, 34-36, 40-44, площадью 309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этаж: цокольный, кадастровый номер: 26:12:030215:3657, 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Лермонтова, д. 179,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наименование: нежилое, назначение: нежилое.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</w:t>
            </w:r>
            <w:r>
              <w:rPr>
                <w:rFonts w:ascii="Times New Roman" w:hAnsi="Times New Roman"/>
              </w:rPr>
              <w:t xml:space="preserve"> досуга.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838 008,00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83 800,80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41 900,40</w:t>
            </w:r>
          </w:p>
        </w:tc>
      </w:tr>
      <w:tr>
        <w:trPr>
          <w:trHeight w:hRule="atLeast" w:val="553"/>
        </w:trPr>
        <w:tc>
          <w:tcPr>
            <w:tcW w:type="dxa" w:w="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постройки здания - 1969. Материал наружных стен – кирпич. 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отдельный вход в помещение. 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дверь – металлическая. Межкомнатные двери – деревянные.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Оконные блоки – металлопластиковые, металлические решетки.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отделка стен – частично стеновые пластиковые панели, частично штукатурка и окраска; полы – частично ламинат, частично моза</w:t>
            </w:r>
            <w:r>
              <w:rPr>
                <w:rFonts w:ascii="Times New Roman" w:hAnsi="Times New Roman"/>
              </w:rPr>
              <w:t>ично-бетонное покрытие, потолки – частично подвесной потолок типа «</w:t>
            </w:r>
            <w:r>
              <w:rPr>
                <w:rFonts w:ascii="Times New Roman" w:hAnsi="Times New Roman"/>
              </w:rPr>
              <w:t>Армстронг</w:t>
            </w:r>
            <w:r>
              <w:rPr>
                <w:rFonts w:ascii="Times New Roman" w:hAnsi="Times New Roman"/>
              </w:rPr>
              <w:t>», частично штукатурка и окраска.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Санитарно-техническое оборудование: унитаз - 2, умывальник – 2.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помещении имеются следующие коммуникации: электроснабжение, холодное и горячее в</w:t>
            </w:r>
            <w:r>
              <w:rPr>
                <w:rFonts w:ascii="Times New Roman" w:hAnsi="Times New Roman"/>
              </w:rPr>
              <w:t xml:space="preserve">одоснабжение, водоотведение. </w:t>
            </w:r>
          </w:p>
        </w:tc>
      </w:tr>
    </w:tbl>
    <w:p w14:paraId="54000000">
      <w:pPr>
        <w:spacing w:after="0" w:line="340" w:lineRule="exact"/>
        <w:ind w:firstLine="708" w:left="0"/>
        <w:jc w:val="both"/>
        <w:rPr>
          <w:rFonts w:ascii="Times New Roman" w:hAnsi="Times New Roman"/>
          <w:b w:val="1"/>
        </w:rPr>
      </w:pP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05 февраля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 подано ни одной заявки на участие в аукционе.</w:t>
      </w:r>
    </w:p>
    <w:p w14:paraId="56000000">
      <w:pPr>
        <w:spacing w:after="0" w:line="240" w:lineRule="auto"/>
        <w:ind w:firstLine="709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соответствие с пунктом </w:t>
      </w:r>
      <w:r>
        <w:rPr>
          <w:rFonts w:ascii="Times New Roman" w:hAnsi="Times New Roman"/>
          <w:sz w:val="28"/>
        </w:rPr>
        <w:t>119 Порядка проведения конкур</w:t>
      </w:r>
      <w:r>
        <w:rPr>
          <w:rFonts w:ascii="Times New Roman" w:hAnsi="Times New Roman"/>
          <w:sz w:val="28"/>
        </w:rPr>
        <w:t>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</w:t>
      </w:r>
      <w:r>
        <w:rPr>
          <w:rFonts w:ascii="Times New Roman" w:hAnsi="Times New Roman"/>
          <w:sz w:val="28"/>
        </w:rPr>
        <w:t>нного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</w:t>
      </w:r>
      <w:r>
        <w:rPr>
          <w:rFonts w:ascii="Times New Roman" w:hAnsi="Times New Roman"/>
          <w:sz w:val="28"/>
        </w:rPr>
        <w:t>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</w:t>
      </w:r>
      <w:r>
        <w:rPr>
          <w:rFonts w:ascii="Times New Roman" w:hAnsi="Times New Roman"/>
          <w:color w:themeColor="text1" w:val="000000"/>
          <w:sz w:val="28"/>
        </w:rPr>
        <w:t>алее – Порядок) комиссия единогласно призна</w:t>
      </w:r>
      <w:r>
        <w:rPr>
          <w:rFonts w:ascii="Times New Roman" w:hAnsi="Times New Roman"/>
          <w:color w:themeColor="text1" w:val="000000"/>
          <w:sz w:val="28"/>
        </w:rPr>
        <w:t xml:space="preserve">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лота № 1</w:t>
      </w:r>
      <w:r>
        <w:rPr>
          <w:rFonts w:ascii="Times New Roman" w:hAnsi="Times New Roman"/>
          <w:color w:themeColor="text1" w:val="000000"/>
          <w:sz w:val="28"/>
        </w:rPr>
        <w:t xml:space="preserve"> несостоявшимся (</w:t>
      </w:r>
      <w:r>
        <w:rPr>
          <w:rFonts w:ascii="Times New Roman" w:hAnsi="Times New Roman"/>
          <w:i w:val="1"/>
          <w:sz w:val="28"/>
        </w:rPr>
        <w:t>до окончания срока подачи заявок не подана ни одна заявка на участие в аукционе</w:t>
      </w:r>
      <w:r>
        <w:rPr>
          <w:rFonts w:ascii="Times New Roman" w:hAnsi="Times New Roman"/>
          <w:sz w:val="28"/>
        </w:rPr>
        <w:t>).</w:t>
      </w:r>
    </w:p>
    <w:p w14:paraId="57000000">
      <w:pPr>
        <w:spacing w:after="0" w:line="240" w:lineRule="auto"/>
        <w:ind w:firstLine="709" w:left="0"/>
        <w:jc w:val="both"/>
        <w:rPr>
          <w:rFonts w:ascii="Arial" w:hAnsi="Arial"/>
          <w:sz w:val="28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75"/>
        <w:gridCol w:w="960"/>
        <w:gridCol w:w="1723"/>
        <w:gridCol w:w="1140"/>
        <w:gridCol w:w="1215"/>
      </w:tblGrid>
      <w:tr>
        <w:trPr>
          <w:trHeight w:hRule="atLeast" w:val="27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00000">
            <w:pPr>
              <w:spacing w:after="0" w:line="240" w:lineRule="auto"/>
              <w:ind w:firstLine="0"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E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5F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60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61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66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(10 % </w:t>
            </w:r>
          </w:p>
          <w:p w14:paraId="67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6A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</w:t>
            </w: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6C000000">
      <w:pPr>
        <w:spacing w:after="0" w:line="120" w:lineRule="auto"/>
        <w:ind w:firstLine="709" w:left="0"/>
        <w:jc w:val="both"/>
        <w:rPr>
          <w:rFonts w:ascii="Times New Roman" w:hAnsi="Times New Roman"/>
          <w:sz w:val="2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62"/>
        <w:gridCol w:w="962"/>
        <w:gridCol w:w="1740"/>
        <w:gridCol w:w="1140"/>
        <w:gridCol w:w="1200"/>
      </w:tblGrid>
      <w:tr>
        <w:trPr>
          <w:trHeight w:hRule="atLeast" w:val="4351"/>
        </w:trPr>
        <w:tc>
          <w:tcPr>
            <w:tcW w:type="dxa" w:w="5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D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6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№№ 1, 3-7, 9, 11-17, 20, 21, 23, 30-34, 25, 26 площадью 424,6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этаж: 1, кадастровый номер: 26:12:030210:800, 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Добролюбова, 19, наименование: </w:t>
            </w:r>
            <w:r>
              <w:rPr>
                <w:rFonts w:ascii="Times New Roman" w:hAnsi="Times New Roman"/>
              </w:rPr>
              <w:t>нежилое помещение, назначение: нежилое.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</w:t>
            </w:r>
            <w:r>
              <w:rPr>
                <w:rFonts w:ascii="Times New Roman" w:hAnsi="Times New Roman"/>
              </w:rPr>
              <w:t>уга.</w:t>
            </w:r>
          </w:p>
        </w:tc>
        <w:tc>
          <w:tcPr>
            <w:tcW w:type="dxa" w:w="9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2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1 589 073,24</w:t>
            </w:r>
          </w:p>
        </w:tc>
        <w:tc>
          <w:tcPr>
            <w:tcW w:type="dxa" w:w="1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4000000">
            <w:pPr>
              <w:spacing w:after="0" w:line="240" w:lineRule="auto"/>
              <w:ind w:firstLine="0" w:left="-1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158 907,32</w:t>
            </w:r>
          </w:p>
        </w:tc>
        <w:tc>
          <w:tcPr>
            <w:tcW w:type="dxa" w:w="12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79 453,66</w:t>
            </w:r>
          </w:p>
        </w:tc>
      </w:tr>
      <w:tr>
        <w:trPr>
          <w:trHeight w:hRule="atLeast" w:val="1677"/>
        </w:trPr>
        <w:tc>
          <w:tcPr>
            <w:tcW w:type="dxa" w:w="5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постройки здания - 1984. Материал наружных стен – кирпич. 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два самостоятельных входа в помещение. 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Входные двери – 1) металлопластиковая с металлической решетной, </w:t>
            </w: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металлическая. Межкомнатные двери – деревянные.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Оконные блоки – металлопластиковые.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Внутренняя отделка стен – штукатурка и окраска, частично</w:t>
            </w:r>
            <w:r>
              <w:rPr>
                <w:rFonts w:ascii="Times New Roman" w:hAnsi="Times New Roman"/>
              </w:rPr>
              <w:t xml:space="preserve"> керамическая плитка; полы – частично линолеум, частично мозаично-бетонное покрытие; потолки – частично штукатурка и окраска, частично подвесной потолок типа «</w:t>
            </w:r>
            <w:r>
              <w:rPr>
                <w:rFonts w:ascii="Times New Roman" w:hAnsi="Times New Roman"/>
              </w:rPr>
              <w:t>Армстронг</w:t>
            </w:r>
            <w:r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Санитарно-техническое оборудование: унитаз - 1, умывальник – 1. </w:t>
            </w: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помещении имеются </w:t>
            </w:r>
            <w:r>
              <w:rPr>
                <w:rFonts w:ascii="Times New Roman" w:hAnsi="Times New Roman"/>
              </w:rPr>
              <w:t xml:space="preserve">следующие коммуникации: электроснабжение, холодное и горячее водоснабжение, водоотведение, центральное отопление. </w:t>
            </w:r>
          </w:p>
        </w:tc>
      </w:tr>
    </w:tbl>
    <w:p w14:paraId="7E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10"/>
        </w:rPr>
      </w:pP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05 февраля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 подано ни одной</w:t>
      </w:r>
      <w:r>
        <w:rPr>
          <w:rFonts w:ascii="Times New Roman" w:hAnsi="Times New Roman"/>
          <w:sz w:val="28"/>
        </w:rPr>
        <w:t xml:space="preserve"> заявки на участие в аукционе.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соответствие с пунктом </w:t>
      </w:r>
      <w:r>
        <w:rPr>
          <w:rFonts w:ascii="Times New Roman" w:hAnsi="Times New Roman"/>
          <w:sz w:val="28"/>
        </w:rPr>
        <w:t>119 Порядка</w:t>
      </w:r>
      <w:r>
        <w:rPr>
          <w:rFonts w:ascii="Times New Roman" w:hAnsi="Times New Roman"/>
          <w:color w:themeColor="text1" w:val="000000"/>
          <w:sz w:val="28"/>
        </w:rPr>
        <w:t xml:space="preserve"> комиссия единогласно признала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лота № 2</w:t>
      </w:r>
      <w:r>
        <w:rPr>
          <w:rFonts w:ascii="Times New Roman" w:hAnsi="Times New Roman"/>
          <w:color w:themeColor="text1" w:val="000000"/>
          <w:sz w:val="28"/>
        </w:rPr>
        <w:t xml:space="preserve"> несостоявшимся (</w:t>
      </w:r>
      <w:r>
        <w:rPr>
          <w:rFonts w:ascii="Times New Roman" w:hAnsi="Times New Roman"/>
          <w:i w:val="1"/>
          <w:sz w:val="28"/>
        </w:rPr>
        <w:t>до окончания срока подачи заявок не подана ни одна заявка на участие в аукционе</w:t>
      </w:r>
      <w:r>
        <w:rPr>
          <w:rFonts w:ascii="Times New Roman" w:hAnsi="Times New Roman"/>
          <w:sz w:val="28"/>
        </w:rPr>
        <w:t>).</w:t>
      </w:r>
    </w:p>
    <w:p w14:paraId="82000000">
      <w:pPr>
        <w:spacing w:after="0" w:line="240" w:lineRule="auto"/>
        <w:ind w:firstLine="709" w:left="0"/>
        <w:jc w:val="both"/>
        <w:rPr>
          <w:rFonts w:ascii="Arial" w:hAnsi="Arial"/>
          <w:sz w:val="10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75"/>
        <w:gridCol w:w="960"/>
        <w:gridCol w:w="1723"/>
        <w:gridCol w:w="1140"/>
        <w:gridCol w:w="1215"/>
      </w:tblGrid>
      <w:tr>
        <w:trPr>
          <w:trHeight w:hRule="atLeast" w:val="27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3000000">
            <w:pPr>
              <w:spacing w:after="0" w:line="240" w:lineRule="auto"/>
              <w:ind w:firstLine="0"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9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8A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8B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8C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</w:t>
            </w:r>
            <w:r>
              <w:rPr>
                <w:rFonts w:ascii="Times New Roman" w:hAnsi="Times New Roman"/>
              </w:rPr>
              <w:t xml:space="preserve">начальная (минимальная) </w:t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размере ежегодного платежа за пользование муниципальным </w:t>
            </w:r>
            <w:r>
              <w:rPr>
                <w:rFonts w:ascii="Times New Roman" w:hAnsi="Times New Roman"/>
              </w:rPr>
              <w:t>имуществом, с учетом НДС (руб.)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91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(10 % </w:t>
            </w:r>
          </w:p>
          <w:p w14:paraId="92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95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97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2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62"/>
        <w:gridCol w:w="962"/>
        <w:gridCol w:w="1740"/>
        <w:gridCol w:w="1140"/>
        <w:gridCol w:w="1200"/>
      </w:tblGrid>
      <w:tr>
        <w:trPr>
          <w:trHeight w:hRule="atLeast" w:val="4516"/>
        </w:trPr>
        <w:tc>
          <w:tcPr>
            <w:tcW w:type="dxa" w:w="538"/>
            <w:vMerge w:val="restart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8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662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 №№ 1-</w:t>
            </w:r>
            <w:r>
              <w:rPr>
                <w:rFonts w:ascii="Times New Roman" w:hAnsi="Times New Roman"/>
              </w:rPr>
              <w:t xml:space="preserve">5,   </w:t>
            </w:r>
            <w:r>
              <w:rPr>
                <w:rFonts w:ascii="Times New Roman" w:hAnsi="Times New Roman"/>
              </w:rPr>
              <w:t xml:space="preserve">              8-12, 14-15, 83-87, 81-82 площадью 140,10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этаж: 1, подвал, кадастровый номер: 26:12:011604:5220, 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Тухачевского, 5/1, наименование: нежилые помещения назначение: нежилое.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использование: под офис, бытовое обслуживание, обслуживание ж</w:t>
            </w:r>
            <w:r>
              <w:rPr>
                <w:rFonts w:ascii="Times New Roman" w:hAnsi="Times New Roman"/>
              </w:rPr>
              <w:t>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62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D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4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630 000,00</w:t>
            </w:r>
          </w:p>
        </w:tc>
        <w:tc>
          <w:tcPr>
            <w:tcW w:type="dxa" w:w="114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F000000">
            <w:pPr>
              <w:spacing w:after="0" w:line="240" w:lineRule="auto"/>
              <w:ind w:firstLine="0" w:left="-1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63 000,00</w:t>
            </w:r>
          </w:p>
        </w:tc>
        <w:tc>
          <w:tcPr>
            <w:tcW w:type="dxa" w:w="120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31 500,00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1"/>
            <w:vMerge w:val="continue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04"/>
            <w:gridSpan w:val="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расположено в </w:t>
            </w:r>
            <w:r>
              <w:rPr>
                <w:rFonts w:ascii="Times New Roman" w:hAnsi="Times New Roman"/>
              </w:rPr>
              <w:t>многоквартирном пятиэтажном жилом доме.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постройки здания - 1973. Материал наружных стен – кирпич. 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два отдельный входа в помещение. </w:t>
            </w: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дверь – металлическая. Межкомнатные двери – деревянные.</w:t>
            </w: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Оконные блоки – металлопластиковые.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Внутренняя </w:t>
            </w:r>
            <w:r>
              <w:rPr>
                <w:rFonts w:ascii="Times New Roman" w:hAnsi="Times New Roman"/>
              </w:rPr>
              <w:t>отделка стен – стеновые пластиковые панели; полы – линолеум; потолки - подвесные потолки типа «</w:t>
            </w:r>
            <w:r>
              <w:rPr>
                <w:rFonts w:ascii="Times New Roman" w:hAnsi="Times New Roman"/>
              </w:rPr>
              <w:t>Армстронг</w:t>
            </w:r>
            <w:r>
              <w:rPr>
                <w:rFonts w:ascii="Times New Roman" w:hAnsi="Times New Roman"/>
              </w:rPr>
              <w:t>».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Санитарно-техническое оборудование: унитаз - 2, умывальник – 2. В помещении: имеется электроснабжение, холодное и горячее водоснабжение, водоотведени</w:t>
            </w:r>
            <w:r>
              <w:rPr>
                <w:rFonts w:ascii="Times New Roman" w:hAnsi="Times New Roman"/>
              </w:rPr>
              <w:t>е, центральное отопление.</w:t>
            </w:r>
          </w:p>
        </w:tc>
      </w:tr>
    </w:tbl>
    <w:p w14:paraId="A9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10"/>
        </w:rPr>
      </w:pP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05 февраля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подано ни одной заявки на участие в аукционе.</w:t>
      </w:r>
    </w:p>
    <w:p w14:paraId="AC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соответствие с пунктом </w:t>
      </w:r>
      <w:r>
        <w:rPr>
          <w:rFonts w:ascii="Times New Roman" w:hAnsi="Times New Roman"/>
          <w:sz w:val="28"/>
        </w:rPr>
        <w:t xml:space="preserve">119 Порядка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признала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лота № 3</w:t>
      </w:r>
      <w:r>
        <w:rPr>
          <w:rFonts w:ascii="Times New Roman" w:hAnsi="Times New Roman"/>
          <w:color w:themeColor="text1" w:val="000000"/>
          <w:sz w:val="28"/>
        </w:rPr>
        <w:t xml:space="preserve"> несостоявшимся (</w:t>
      </w:r>
      <w:r>
        <w:rPr>
          <w:rFonts w:ascii="Times New Roman" w:hAnsi="Times New Roman"/>
          <w:i w:val="1"/>
          <w:sz w:val="28"/>
        </w:rPr>
        <w:t>до окончания срока подачи заявок не подана ни одна заявка на участие в аукционе</w:t>
      </w:r>
      <w:r>
        <w:rPr>
          <w:rFonts w:ascii="Times New Roman" w:hAnsi="Times New Roman"/>
          <w:sz w:val="28"/>
        </w:rPr>
        <w:t>).</w:t>
      </w:r>
    </w:p>
    <w:p w14:paraId="AD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10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872"/>
        <w:gridCol w:w="990"/>
        <w:gridCol w:w="1723"/>
        <w:gridCol w:w="1140"/>
        <w:gridCol w:w="988"/>
      </w:tblGrid>
      <w:tr>
        <w:trPr>
          <w:trHeight w:hRule="atLeast" w:val="27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E000000">
            <w:pPr>
              <w:spacing w:after="0" w:line="240" w:lineRule="auto"/>
              <w:ind w:firstLine="0"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872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4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B5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B6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B7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23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BC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(10 % </w:t>
            </w:r>
          </w:p>
          <w:p w14:paraId="BD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>от пр</w:t>
            </w:r>
            <w:r>
              <w:rPr>
                <w:rFonts w:ascii="Times New Roman" w:hAnsi="Times New Roman"/>
              </w:rPr>
              <w:t xml:space="preserve">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C0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C2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2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8"/>
        <w:gridCol w:w="3832"/>
        <w:gridCol w:w="985"/>
        <w:gridCol w:w="1740"/>
        <w:gridCol w:w="1140"/>
        <w:gridCol w:w="958"/>
      </w:tblGrid>
      <w:tr>
        <w:trPr>
          <w:trHeight w:hRule="atLeast" w:val="213"/>
        </w:trPr>
        <w:tc>
          <w:tcPr>
            <w:tcW w:type="dxa" w:w="568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3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83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35 площадью 19,3 кв. м, 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входящее в состав нежилых помещений с кадастровым </w:t>
            </w: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номером 26:12:011215:2750, 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площадью 607,1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расположенных в цокольном этаже </w:t>
            </w:r>
            <w:r>
              <w:rPr>
                <w:rFonts w:ascii="Times New Roman" w:hAnsi="Times New Roman"/>
              </w:rPr>
              <w:t>здания по адресу:</w:t>
            </w:r>
          </w:p>
          <w:p w14:paraId="C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Ставрополь, </w:t>
            </w:r>
          </w:p>
          <w:p w14:paraId="C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Тельмана, 236.</w:t>
            </w:r>
          </w:p>
          <w:p w14:paraId="C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Наименование: </w:t>
            </w:r>
          </w:p>
          <w:p w14:paraId="C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помещение, </w:t>
            </w:r>
          </w:p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помещение.</w:t>
            </w: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назначение: под офис, бытовое обслуживание, обслуживание жилищного фонда, общественное питание, торговую, медицинскую, образ</w:t>
            </w:r>
            <w:r>
              <w:rPr>
                <w:rFonts w:ascii="Times New Roman" w:hAnsi="Times New Roman"/>
              </w:rPr>
              <w:t>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F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55 861,38</w:t>
            </w:r>
          </w:p>
        </w:tc>
        <w:tc>
          <w:tcPr>
            <w:tcW w:type="dxa" w:w="11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5 586,14</w:t>
            </w:r>
          </w:p>
        </w:tc>
        <w:tc>
          <w:tcPr>
            <w:tcW w:type="dxa" w:w="95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2 793,07</w:t>
            </w:r>
          </w:p>
        </w:tc>
      </w:tr>
      <w:tr>
        <w:trPr>
          <w:trHeight w:hRule="atLeast" w:val="2199"/>
        </w:trPr>
        <w:tc>
          <w:tcPr>
            <w:tcW w:type="dxa" w:w="568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6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</w:p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постройки </w:t>
            </w:r>
            <w:r>
              <w:rPr>
                <w:rFonts w:ascii="Times New Roman" w:hAnsi="Times New Roman"/>
                <w:color w:themeColor="text1" w:val="000000"/>
              </w:rPr>
              <w:t xml:space="preserve">здания - </w:t>
            </w:r>
            <w:r>
              <w:rPr>
                <w:rFonts w:ascii="Times New Roman" w:hAnsi="Times New Roman"/>
                <w:color w:themeColor="text1" w:val="000000"/>
                <w:shd w:fill="F8F8F8" w:val="clear"/>
              </w:rPr>
              <w:t xml:space="preserve">1976, </w:t>
            </w:r>
            <w:r>
              <w:rPr>
                <w:rFonts w:ascii="Times New Roman" w:hAnsi="Times New Roman"/>
              </w:rPr>
              <w:t>Материал наружных стен – кирпич.</w:t>
            </w: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Свободный доступ к помещению ограничен – в здании установлен пропускной режим.</w:t>
            </w:r>
            <w:r>
              <w:rPr>
                <w:rFonts w:ascii="Times New Roman" w:hAnsi="Times New Roman"/>
              </w:rPr>
              <w:t xml:space="preserve"> Входная дверь в помещение – деревянная. </w:t>
            </w: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Оконные блоки – деревянные. 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отделка стен – штукатурка, окраска, частично обои.</w:t>
            </w: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Санитарно-техническое оборудование: отсутствует. Помещение требует ремонта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помещении имеются следующие коммуникации: электроснабжение, центральное отопление. </w:t>
            </w:r>
          </w:p>
        </w:tc>
      </w:tr>
    </w:tbl>
    <w:p w14:paraId="DB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10"/>
        </w:rPr>
      </w:pP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05 февраля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 подано ни одной заявки на участие в аукционе.</w:t>
      </w:r>
    </w:p>
    <w:p w14:paraId="DE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соответствие с пунктом </w:t>
      </w:r>
      <w:r>
        <w:rPr>
          <w:rFonts w:ascii="Times New Roman" w:hAnsi="Times New Roman"/>
          <w:sz w:val="28"/>
        </w:rPr>
        <w:t xml:space="preserve">119 Порядка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признала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лота № 4</w:t>
      </w:r>
      <w:r>
        <w:rPr>
          <w:rFonts w:ascii="Times New Roman" w:hAnsi="Times New Roman"/>
          <w:color w:themeColor="text1" w:val="000000"/>
          <w:sz w:val="28"/>
        </w:rPr>
        <w:t xml:space="preserve"> несостоявшимся (</w:t>
      </w:r>
      <w:r>
        <w:rPr>
          <w:rFonts w:ascii="Times New Roman" w:hAnsi="Times New Roman"/>
          <w:i w:val="1"/>
          <w:sz w:val="28"/>
        </w:rPr>
        <w:t>до окончания срока подачи заявок не подана ни одна заявка на участие в аукционе</w:t>
      </w:r>
      <w:r>
        <w:rPr>
          <w:rFonts w:ascii="Times New Roman" w:hAnsi="Times New Roman"/>
          <w:sz w:val="28"/>
        </w:rPr>
        <w:t>).</w:t>
      </w:r>
    </w:p>
    <w:p w14:paraId="DF00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10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77"/>
        <w:gridCol w:w="1095"/>
        <w:gridCol w:w="1755"/>
        <w:gridCol w:w="1140"/>
        <w:gridCol w:w="988"/>
      </w:tblGrid>
      <w:tr>
        <w:trPr>
          <w:trHeight w:hRule="atLeast" w:val="27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0000000">
            <w:pPr>
              <w:spacing w:after="0" w:line="240" w:lineRule="auto"/>
              <w:ind w:firstLine="0"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лота</w:t>
            </w:r>
          </w:p>
        </w:tc>
        <w:tc>
          <w:tcPr>
            <w:tcW w:type="dxa" w:w="3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характеристика, описание, 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назначение 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недвижимого имущества, 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6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14:paraId="E7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E8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договора </w:t>
            </w:r>
          </w:p>
          <w:p w14:paraId="E9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(цена лота) 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размере ежегодного платежа за пользование </w:t>
            </w:r>
            <w:r>
              <w:rPr>
                <w:rFonts w:ascii="Times New Roman" w:hAnsi="Times New Roman"/>
              </w:rPr>
              <w:t>муниципальным имуществом, с учетом НДС (руб.)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задатка</w:t>
            </w:r>
          </w:p>
          <w:p w14:paraId="EE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(10 % </w:t>
            </w:r>
          </w:p>
          <w:p w14:paraId="EF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аукциона</w:t>
            </w:r>
          </w:p>
          <w:p w14:paraId="F2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p w14:paraId="F4000000">
      <w:pPr>
        <w:widowControl w:val="0"/>
        <w:spacing w:after="0" w:line="0" w:lineRule="atLeast"/>
        <w:ind w:firstLine="567" w:left="0"/>
        <w:jc w:val="both"/>
        <w:rPr>
          <w:rFonts w:ascii="Times New Roman" w:hAnsi="Times New Roman"/>
          <w:sz w:val="2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662"/>
        <w:gridCol w:w="1125"/>
        <w:gridCol w:w="1740"/>
        <w:gridCol w:w="1140"/>
        <w:gridCol w:w="990"/>
      </w:tblGrid>
      <w:tr>
        <w:trPr>
          <w:trHeight w:hRule="atLeast" w:val="4232"/>
        </w:trPr>
        <w:tc>
          <w:tcPr>
            <w:tcW w:type="dxa" w:w="5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5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№№ 82-90 площадью 104,6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 xml:space="preserve">, этаж: 1, подвал, кадастровый номер: 26:12:010304:3881, </w:t>
            </w:r>
          </w:p>
          <w:p w14:paraId="F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Юности, 3/2 наименование: нежилые помещения назначение: нежилое.</w:t>
            </w: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A000000">
            <w:pPr>
              <w:spacing w:after="0" w:line="240" w:lineRule="auto"/>
              <w:ind w:firstLine="0"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301 248,00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C000000">
            <w:pPr>
              <w:spacing w:after="0" w:line="240" w:lineRule="auto"/>
              <w:ind w:firstLine="0" w:left="-1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30 124,80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15 062,40</w:t>
            </w:r>
          </w:p>
        </w:tc>
      </w:tr>
      <w:tr>
        <w:trPr>
          <w:trHeight w:hRule="atLeast" w:val="2145"/>
        </w:trPr>
        <w:tc>
          <w:tcPr>
            <w:tcW w:type="dxa" w:w="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65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девятиэтажном жилом доме.</w:t>
            </w: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здания - 1986. Материал наружных стен – кирпич.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Входные двери – металлические (два входа)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Межкомнатные двери – деревянные. </w:t>
            </w:r>
            <w:r>
              <w:rPr>
                <w:rFonts w:ascii="Times New Roman" w:hAnsi="Times New Roman"/>
              </w:rPr>
              <w:t>Внутренняя отделка стен – штукатурка, окраска, на стенах имеются следы плесени. Полы - керамическая плитка. Помещение требует ремонта. В помещении имеются следующие коммуникации: водоснабжение, отопление, электроснабжение. Коммуникации не подключены.</w:t>
            </w:r>
          </w:p>
        </w:tc>
      </w:tr>
    </w:tbl>
    <w:p w14:paraId="0301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05 февраля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подано ни одной заявки на участие в аукционе.</w:t>
      </w:r>
    </w:p>
    <w:p w14:paraId="0501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соответствие с пунктом </w:t>
      </w:r>
      <w:r>
        <w:rPr>
          <w:rFonts w:ascii="Times New Roman" w:hAnsi="Times New Roman"/>
          <w:sz w:val="28"/>
        </w:rPr>
        <w:t xml:space="preserve">119 Порядка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признала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лота №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несостоявшимся (</w:t>
      </w:r>
      <w:r>
        <w:rPr>
          <w:rFonts w:ascii="Times New Roman" w:hAnsi="Times New Roman"/>
          <w:i w:val="1"/>
          <w:sz w:val="28"/>
        </w:rPr>
        <w:t>до окончания срока подачи заявок не подана ни одна заявка на участие в аукционе</w:t>
      </w:r>
      <w:r>
        <w:rPr>
          <w:rFonts w:ascii="Times New Roman" w:hAnsi="Times New Roman"/>
          <w:sz w:val="28"/>
        </w:rPr>
        <w:t>).</w:t>
      </w:r>
    </w:p>
    <w:p w14:paraId="06010000">
      <w:pPr>
        <w:widowControl w:val="0"/>
        <w:spacing w:after="0" w:line="0" w:lineRule="atLeast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Настоящий протокол рассмотрения заявок на участие в аукционе </w:t>
      </w:r>
      <w:r>
        <w:rPr>
          <w:rFonts w:ascii="Times New Roman" w:hAnsi="Times New Roman"/>
          <w:sz w:val="28"/>
        </w:rPr>
        <w:t>направлен на сайт Единой электронной торговой площадки, по адресу в сети «И</w:t>
      </w:r>
      <w:r>
        <w:rPr>
          <w:rFonts w:ascii="Times New Roman" w:hAnsi="Times New Roman"/>
          <w:sz w:val="28"/>
        </w:rPr>
        <w:t xml:space="preserve">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"http://178fz.roseltorg.ru"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http://178fz.roseltorg.ru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7010000">
      <w:pPr>
        <w:spacing w:after="0" w:line="340" w:lineRule="exact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spacing w:after="0" w:line="340" w:lineRule="exact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spacing w:after="0" w:line="340" w:lineRule="exact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0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</w:t>
      </w:r>
      <w:r>
        <w:rPr>
          <w:rFonts w:ascii="Times New Roman" w:hAnsi="Times New Roman"/>
          <w:sz w:val="28"/>
        </w:rPr>
        <w:t>Бенедюк</w:t>
      </w:r>
      <w:r>
        <w:rPr>
          <w:rFonts w:ascii="Times New Roman" w:hAnsi="Times New Roman"/>
          <w:sz w:val="28"/>
        </w:rPr>
        <w:t xml:space="preserve"> __________________</w:t>
      </w:r>
      <w:r>
        <w:rPr>
          <w:rFonts w:ascii="Times New Roman" w:hAnsi="Times New Roman"/>
          <w:sz w:val="28"/>
        </w:rPr>
        <w:t>_  А.В.</w:t>
      </w:r>
      <w:r>
        <w:rPr>
          <w:rFonts w:ascii="Times New Roman" w:hAnsi="Times New Roman"/>
          <w:sz w:val="28"/>
        </w:rPr>
        <w:t xml:space="preserve"> Андросова ____________________</w:t>
      </w: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О.А. </w:t>
      </w:r>
      <w:r>
        <w:rPr>
          <w:rFonts w:ascii="Times New Roman" w:hAnsi="Times New Roman"/>
          <w:sz w:val="28"/>
        </w:rPr>
        <w:t>Галда</w:t>
      </w:r>
      <w:r>
        <w:rPr>
          <w:rFonts w:ascii="Times New Roman" w:hAnsi="Times New Roman"/>
          <w:sz w:val="28"/>
        </w:rPr>
        <w:t xml:space="preserve">_____________________   Т.В. </w:t>
      </w:r>
      <w:r>
        <w:rPr>
          <w:rFonts w:ascii="Times New Roman" w:hAnsi="Times New Roman"/>
          <w:sz w:val="28"/>
        </w:rPr>
        <w:t>Заикина</w:t>
      </w:r>
      <w:r>
        <w:rPr>
          <w:rFonts w:ascii="Times New Roman" w:hAnsi="Times New Roman"/>
          <w:sz w:val="28"/>
        </w:rPr>
        <w:t xml:space="preserve"> _______________________ </w:t>
      </w:r>
    </w:p>
    <w:p w14:paraId="0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10000">
      <w:pPr>
        <w:spacing w:after="57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С.В.</w:t>
      </w:r>
      <w:r>
        <w:rPr>
          <w:rFonts w:ascii="Times New Roman" w:hAnsi="Times New Roman"/>
          <w:sz w:val="28"/>
        </w:rPr>
        <w:t xml:space="preserve"> Холод ___________________</w:t>
      </w:r>
    </w:p>
    <w:sectPr>
      <w:headerReference r:id="rId1" w:type="default"/>
      <w:pgSz w:h="16848" w:orient="portrait" w:w="11908"/>
      <w:pgMar w:bottom="1134" w:footer="709" w:gutter="0" w:header="709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5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5"/>
    <w:link w:val="Style_22_ch"/>
    <w:pPr>
      <w:ind w:firstLine="0" w:left="720"/>
      <w:contextualSpacing w:val="1"/>
    </w:pPr>
  </w:style>
  <w:style w:styleId="Style_22_ch" w:type="character">
    <w:name w:val="List Paragraph"/>
    <w:basedOn w:val="Style_5_ch"/>
    <w:link w:val="Style_22"/>
  </w:style>
  <w:style w:styleId="Style_23" w:type="paragraph">
    <w:name w:val="Normal (Web)"/>
    <w:basedOn w:val="Style_5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5_ch"/>
    <w:link w:val="Style_23"/>
    <w:rPr>
      <w:rFonts w:ascii="Times New Roman" w:hAnsi="Times New Roman"/>
      <w:sz w:val="24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Гиперссылка1"/>
    <w:basedOn w:val="Style_18"/>
    <w:link w:val="Style_3_ch"/>
    <w:rPr>
      <w:color w:val="0000FF"/>
      <w:u w:val="single"/>
    </w:rPr>
  </w:style>
  <w:style w:styleId="Style_3_ch" w:type="character">
    <w:name w:val="Гиперссылка1"/>
    <w:basedOn w:val="Style_18_ch"/>
    <w:link w:val="Style_3"/>
    <w:rPr>
      <w:color w:val="0000FF"/>
      <w:u w:val="single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Содержимое таблицы"/>
    <w:basedOn w:val="Style_5"/>
    <w:link w:val="Style_32_ch"/>
    <w:pPr>
      <w:spacing w:after="0" w:line="240" w:lineRule="auto"/>
      <w:ind/>
    </w:pPr>
    <w:rPr>
      <w:rFonts w:ascii="Times New Roman" w:hAnsi="Times New Roman"/>
      <w:sz w:val="24"/>
    </w:rPr>
  </w:style>
  <w:style w:styleId="Style_32_ch" w:type="character">
    <w:name w:val="Содержимое таблицы"/>
    <w:basedOn w:val="Style_5_ch"/>
    <w:link w:val="Style_32"/>
    <w:rPr>
      <w:rFonts w:ascii="Times New Roman" w:hAnsi="Times New Roman"/>
      <w:sz w:val="24"/>
    </w:rPr>
  </w:style>
  <w:style w:styleId="Style_33" w:type="paragraph">
    <w:name w:val="Body Text"/>
    <w:basedOn w:val="Style_5"/>
    <w:link w:val="Style_33_ch"/>
    <w:pPr>
      <w:spacing w:after="0" w:line="240" w:lineRule="auto"/>
      <w:ind/>
    </w:pPr>
    <w:rPr>
      <w:rFonts w:ascii="Times New Roman" w:hAnsi="Times New Roman"/>
      <w:sz w:val="24"/>
    </w:rPr>
  </w:style>
  <w:style w:styleId="Style_33_ch" w:type="character">
    <w:name w:val="Body Text"/>
    <w:basedOn w:val="Style_5_ch"/>
    <w:link w:val="Style_33"/>
    <w:rPr>
      <w:rFonts w:ascii="Times New Roman" w:hAnsi="Times New Roman"/>
      <w:sz w:val="24"/>
    </w:rPr>
  </w:style>
  <w:style w:styleId="Style_3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2024-02-07T14:02:41Z</dcterms:modified>
</cp:coreProperties>
</file>