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Комитет градостроительства</w:t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администрации города Ставрополя</w:t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ПРИКАЗ</w:t>
      </w:r>
      <w:r>
        <w:rPr>
          <w:highlight w:val="none"/>
        </w:rPr>
      </w:r>
      <w:r/>
    </w:p>
    <w:p>
      <w:pPr>
        <w:jc w:val="center"/>
        <w:widowControl w:val="off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highlight w:val="none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tcW w:w="31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.     .</w:t>
            </w:r>
            <w:r>
              <w:rPr>
                <w:highlight w:val="none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№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  <w:widowControl w:val="off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О внесении изменений в </w:t>
      </w:r>
      <w:r>
        <w:rPr>
          <w:sz w:val="28"/>
          <w:highlight w:val="none"/>
        </w:rPr>
        <w:t xml:space="preserve">приказ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аместителя главы администрации города Ставрополя, руководителя комитета градостроительства администрации города Ставрополя от 05.04.2017 № 19-од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«Предоставление градостроительного плана земельного участка»</w:t>
      </w:r>
      <w:r>
        <w:rPr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целях приведения в соответствие с законодательством Российской Федерации и во исполнение протеста </w:t>
      </w:r>
      <w:r>
        <w:rPr>
          <w:sz w:val="28"/>
          <w:szCs w:val="27"/>
          <w:highlight w:val="none"/>
        </w:rPr>
        <w:t xml:space="preserve">заместителя прокурора города Ставрополя от 21.07.2022</w:t>
      </w:r>
      <w:r>
        <w:rPr>
          <w:sz w:val="28"/>
          <w:szCs w:val="28"/>
          <w:highlight w:val="none"/>
        </w:rPr>
        <w:t xml:space="preserve"> № Исорг-20070039-1405-22/-20070039</w:t>
      </w:r>
      <w:r>
        <w:rPr>
          <w:highlight w:val="none"/>
        </w:rPr>
      </w:r>
      <w:r/>
    </w:p>
    <w:p>
      <w:pPr>
        <w:ind w:firstLine="720"/>
        <w:jc w:val="both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  <w:t xml:space="preserve">ПРИКАЗЫВАЮ:</w:t>
      </w:r>
      <w:r>
        <w:rPr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Утвердить прилагаемые изменения, которые вносятся в </w:t>
      </w:r>
      <w:r>
        <w:rPr>
          <w:sz w:val="28"/>
          <w:highlight w:val="none"/>
        </w:rPr>
        <w:t xml:space="preserve">приказ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</w:t>
      </w:r>
      <w:r>
        <w:rPr>
          <w:sz w:val="28"/>
          <w:highlight w:val="none"/>
        </w:rPr>
        <w:t xml:space="preserve">естителя главы администрации города Ставрополя, руководителя комитета градостроительства администрации города Ставрополя </w:t>
        <w:br/>
        <w:t xml:space="preserve">от 05.04.2017 № 19-од «Об утверждении административного регламента комитета градостроительства администрации города Ставрополя </w:t>
        <w:br/>
        <w:t xml:space="preserve">по пре</w:t>
      </w:r>
      <w:r>
        <w:rPr>
          <w:sz w:val="28"/>
          <w:highlight w:val="none"/>
        </w:rPr>
        <w:t xml:space="preserve">доставлению муниципальной услуги «Предоставление градостроительного плана земельного участка»</w:t>
      </w:r>
      <w:r>
        <w:rPr>
          <w:sz w:val="28"/>
          <w:szCs w:val="28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аместител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 главы администрации </w:t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Ставрополя, руководител</w:t>
      </w:r>
      <w:r>
        <w:rPr>
          <w:sz w:val="28"/>
          <w:szCs w:val="28"/>
          <w:highlight w:val="none"/>
        </w:rPr>
        <w:t xml:space="preserve">ь</w:t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комитета градостроительства</w:t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Ставрополя</w:t>
      </w:r>
      <w:r>
        <w:rPr>
          <w:sz w:val="28"/>
          <w:szCs w:val="28"/>
          <w:highlight w:val="none"/>
        </w:rPr>
        <w:t xml:space="preserve">                                   </w:t>
      </w:r>
      <w:r>
        <w:rPr>
          <w:sz w:val="28"/>
          <w:szCs w:val="28"/>
          <w:highlight w:val="none"/>
        </w:rPr>
        <w:t xml:space="preserve">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А.В. Уваров</w:t>
      </w:r>
      <w:r>
        <w:rPr>
          <w:highlight w:val="none"/>
        </w:rPr>
      </w:r>
      <w:r/>
    </w:p>
    <w:p>
      <w:pPr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  <w:br w:type="page" w:clear="all"/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УТВЕРЖДЕНЫ</w:t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5669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en-US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                     №</w:t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ИЗМЕНЕНИЯ,</w:t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которые вносятся </w:t>
      </w:r>
      <w:r>
        <w:rPr>
          <w:sz w:val="28"/>
          <w:highlight w:val="none"/>
        </w:rPr>
        <w:t xml:space="preserve">в приказ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аместителя главы администрации города Ставрополя, руководителя комитета градостроительства администрации города Ставрополя от 05.04.2017 № 19-од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«Предоставление градостроительного плана земельного участка»</w:t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1. В преамбуле </w:t>
      </w:r>
      <w:r>
        <w:rPr>
          <w:sz w:val="28"/>
          <w:highlight w:val="none"/>
        </w:rPr>
        <w:t xml:space="preserve">приказа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аместителя главы администрации города Ставрополя, руководителя комитета градостроительства администрации города Ставрополя от 05.04.2017 № 19-од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«Предоставление градостроительного плана земельного участка»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  <w:br/>
        <w:t xml:space="preserve">(далее – приказ) слова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от 26.06.2013 № 2103 «О порядке разработки и утверждения административных регламентов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предоставления муниципальных услуг» заменить словами «от 11.01.2023 № 25 </w:t>
        <w:br/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административном регламенте комитета градостроительства администрации города Ставрополя по предоставлению муниципальной услуги «Предоставление градостроительного плана земельного участка», утвержденном приказом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пункт 1 изложить в следующей редакции: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1. Административный регламент администрации города Ставрополя по предоставлению муниципальной услуги «Выдача градостроительного плана земельного участка»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Административный регламент) определяет сроки и последовательность действий (административных проц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едур) комитета градостроительства администрации города Ставрополя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Комитет) по предоставлению данной муниципальной услуги.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Положения настоящего административного регламента распространяются на случаи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выдачи градостроительного плана земельного участка, единого в отношении всех смежных земельных участков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, и градостроительных планов земельных участков в отношении каждого из смежных земельных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случае совокупности условий, предусмотренных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подпункте «а» пункта 2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постановления Правительства Российской Федерации от 06 апреля 2022 г. № 603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адостроительных планов земельных участков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, а именно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указанные земельные участки являются смежными;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казанные земельные участки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венной или муниципальной собственности и предоставлены одному лицу на праве аренды для целей строительства объекта капитального строительства. Для земельных участков, на которых планируется строительство многоквартирных домов, срок действия договоров аренд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ы таких земельных участков должен составлять не менее одного года и истекать в один и тот же год в пределах одного и того же календарного месяца;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указанные земельные участки имеют одинаковый вид разрешенного использования земельного участка, допускающий размещение объекта капитального строительства.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 подпункт 3 пункта 18 дополнить подпунктом «д»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«4) </w:t>
      </w:r>
      <w:r>
        <w:rPr>
          <w:sz w:val="28"/>
          <w:szCs w:val="28"/>
          <w:highlight w:val="none"/>
        </w:rPr>
        <w:t xml:space="preserve">предоставление на бумажном носителе документов и информации, электонные образы которых ранее были заверены в соответствии 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24"/>
            <w:color w:val="auto"/>
            <w:sz w:val="28"/>
            <w:szCs w:val="28"/>
            <w:highlight w:val="none"/>
            <w:u w:val="none"/>
          </w:rPr>
          <w:t xml:space="preserve">пунктом 7.2 части 1 статьи 16</w:t>
        </w:r>
      </w:hyperlink>
      <w:r>
        <w:rPr>
          <w:sz w:val="28"/>
          <w:szCs w:val="28"/>
          <w:highlight w:val="none"/>
        </w:rPr>
        <w:t xml:space="preserve"> указанного в настоящем пункте Федерального закона, за исключением случаев, если нанесение отметок на такие документы либо их </w:t>
      </w:r>
      <w:r>
        <w:rPr>
          <w:sz w:val="28"/>
          <w:szCs w:val="28"/>
          <w:highlight w:val="none"/>
        </w:rPr>
        <w:t xml:space="preserve">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после пункта 18 дополнить подразделом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следующего содержания:</w:t>
      </w:r>
      <w:r>
        <w:rPr>
          <w:highlight w:val="none"/>
        </w:rPr>
      </w:r>
      <w:r/>
    </w:p>
    <w:p>
      <w:pPr>
        <w:ind w:firstLine="709"/>
        <w:jc w:val="center"/>
        <w:spacing w:after="0" w:line="283" w:lineRule="exact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«Случаи и порядок предоставления муниципальной услуги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упреждающем (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 режиме</w:t>
      </w:r>
      <w:r>
        <w:rPr>
          <w:highlight w:val="none"/>
        </w:rPr>
      </w:r>
      <w:r/>
    </w:p>
    <w:p>
      <w:pPr>
        <w:ind w:firstLine="709"/>
        <w:jc w:val="center"/>
        <w:spacing w:after="0" w:line="283" w:lineRule="exact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18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 Случаи и порядок предоставления муниципальной услуги в упреждающем (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.»;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4) пункт 20 дополнить подпунктом 9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«9) несоблюдение условий, предусмотренных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подпункте «а» пункта 2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постановления Правительства Российской Федерации от 06 апреля 2022 г. </w:t>
        <w:br/>
        <w:t xml:space="preserve">№ 603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адостроительных планов земельных участков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5) после пункта 76 дополнить пунктами 76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  <w:t xml:space="preserve">, 76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  <w:t xml:space="preserve">, 76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3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  <w:t xml:space="preserve"> и 76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4 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</w:t>
      </w:r>
      <w:r>
        <w:rPr>
          <w:sz w:val="28"/>
          <w:highlight w:val="none"/>
        </w:rPr>
        <w:t xml:space="preserve">76</w:t>
      </w:r>
      <w:r>
        <w:rPr>
          <w:sz w:val="28"/>
          <w:highlight w:val="none"/>
          <w:vertAlign w:val="superscript"/>
        </w:rPr>
        <w:t xml:space="preserve">1</w:t>
      </w:r>
      <w:r>
        <w:rPr>
          <w:sz w:val="28"/>
          <w:highlight w:val="none"/>
        </w:rPr>
        <w:t xml:space="preserve">. В случае если в выданных в результате предоставления услуги </w:t>
      </w:r>
      <w:r>
        <w:rPr>
          <w:sz w:val="28"/>
          <w:highlight w:val="none"/>
        </w:rPr>
        <w:t xml:space="preserve">документах, указанных в пункте 11 Административного регламента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выданный  документ), допущены опечатки и (или) ошибки, заявитель вправе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обратиться лично в Комитет, Центр или в электронной форме с использованием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информационно-</w:t>
      </w:r>
      <w:r>
        <w:rPr>
          <w:sz w:val="28"/>
          <w:highlight w:val="none"/>
        </w:rPr>
        <w:t xml:space="preserve">телекоммуникационной сети «Интернет» через Единый портал, </w:t>
      </w:r>
      <w:r>
        <w:rPr>
          <w:sz w:val="28"/>
          <w:highlight w:val="none"/>
        </w:rPr>
        <w:t xml:space="preserve">Портал государственных и муниципальных услуг Ставропольского края с </w:t>
      </w:r>
      <w:r>
        <w:rPr>
          <w:sz w:val="28"/>
          <w:highlight w:val="none"/>
        </w:rPr>
        <w:t xml:space="preserve">заявлением об исправлении допущенных опечаток и (или) ошибок в выданных </w:t>
      </w:r>
      <w:r>
        <w:rPr>
          <w:sz w:val="28"/>
          <w:highlight w:val="none"/>
        </w:rPr>
        <w:t xml:space="preserve">документах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sz w:val="28"/>
          <w:highlight w:val="none"/>
        </w:rPr>
        <w:t xml:space="preserve"> заявление об исправлении  ошибок). 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Заявление об </w:t>
      </w:r>
      <w:r>
        <w:rPr>
          <w:sz w:val="28"/>
          <w:highlight w:val="none"/>
        </w:rPr>
        <w:t xml:space="preserve">исправлении ошибок подается на имя заместителя главы администрации города </w:t>
      </w:r>
      <w:r>
        <w:rPr>
          <w:sz w:val="28"/>
          <w:highlight w:val="none"/>
        </w:rPr>
        <w:t xml:space="preserve">Ставрополя, руководителя комитета в произвольной форме.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76</w:t>
      </w:r>
      <w:r>
        <w:rPr>
          <w:sz w:val="28"/>
          <w:highlight w:val="none"/>
          <w:vertAlign w:val="superscript"/>
        </w:rPr>
        <w:t xml:space="preserve">2</w:t>
      </w:r>
      <w:r>
        <w:rPr>
          <w:sz w:val="28"/>
          <w:highlight w:val="none"/>
        </w:rPr>
        <w:t xml:space="preserve">. К заявлению об исправлении ошибок прилагаются следующие документы: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1) документ, удостоверяющий личность заявителя (заявителей), </w:t>
      </w:r>
      <w:r>
        <w:rPr>
          <w:sz w:val="28"/>
          <w:highlight w:val="none"/>
        </w:rPr>
        <w:t xml:space="preserve">являющегося  физическим  лицом, либо личность представителя физического или </w:t>
      </w:r>
      <w:r>
        <w:rPr>
          <w:sz w:val="28"/>
          <w:highlight w:val="none"/>
        </w:rPr>
        <w:t xml:space="preserve">юридического лица;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2) документ, удостоверяющий права (полномочия) представителя </w:t>
      </w:r>
      <w:r>
        <w:rPr>
          <w:sz w:val="28"/>
          <w:highlight w:val="none"/>
        </w:rPr>
        <w:t xml:space="preserve">физического или юридического лица, если с заявлением обращается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представитель заявителя (заявителей);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3) документы, обосновывающие доводы заявителя  о наличии опечаток и </w:t>
      </w:r>
      <w:r>
        <w:rPr>
          <w:sz w:val="28"/>
          <w:highlight w:val="none"/>
        </w:rPr>
        <w:t xml:space="preserve">(или) ошибок в выданных документах, а также содержащие правильные сведения.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76</w:t>
      </w:r>
      <w:r>
        <w:rPr>
          <w:sz w:val="28"/>
          <w:highlight w:val="none"/>
          <w:vertAlign w:val="superscript"/>
        </w:rPr>
        <w:t xml:space="preserve">3</w:t>
      </w:r>
      <w:r>
        <w:rPr>
          <w:sz w:val="28"/>
          <w:highlight w:val="none"/>
        </w:rPr>
        <w:t xml:space="preserve">. В случае выявления допущенных опечаток и (или) ошибок в выданных </w:t>
      </w:r>
      <w:r>
        <w:rPr>
          <w:sz w:val="28"/>
          <w:highlight w:val="none"/>
        </w:rPr>
        <w:t xml:space="preserve">документах, должностное лицо Комитета, ответственное за предоставление </w:t>
      </w:r>
      <w:r>
        <w:rPr>
          <w:sz w:val="28"/>
          <w:highlight w:val="none"/>
        </w:rPr>
        <w:t xml:space="preserve">услуги, в течение 15 рабочих дней с даты регистрации  заявления об </w:t>
      </w:r>
      <w:r>
        <w:rPr>
          <w:sz w:val="28"/>
          <w:highlight w:val="none"/>
        </w:rPr>
        <w:t xml:space="preserve">исправлении ошибок, обеспечивает исправление допущенных опечаток и (или) </w:t>
      </w:r>
      <w:r>
        <w:rPr>
          <w:sz w:val="28"/>
          <w:highlight w:val="none"/>
        </w:rPr>
        <w:t xml:space="preserve">ошибок в данных документах и выдачу заявителю документа об исправлении </w:t>
      </w:r>
      <w:r>
        <w:rPr>
          <w:sz w:val="28"/>
          <w:highlight w:val="none"/>
        </w:rPr>
        <w:t xml:space="preserve">допущенных опечаток и (или) ошибок в выданных документах.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76</w:t>
      </w:r>
      <w:r>
        <w:rPr>
          <w:sz w:val="28"/>
          <w:highlight w:val="none"/>
          <w:vertAlign w:val="superscript"/>
        </w:rPr>
        <w:t xml:space="preserve">4</w:t>
      </w:r>
      <w:r>
        <w:rPr>
          <w:sz w:val="28"/>
          <w:highlight w:val="none"/>
        </w:rPr>
        <w:t xml:space="preserve">. В случае наличия основания для отказа в исправлении опечаток и </w:t>
      </w:r>
      <w:r>
        <w:rPr>
          <w:sz w:val="28"/>
          <w:highlight w:val="none"/>
        </w:rPr>
        <w:t xml:space="preserve">(или) ошибок в выданных документах, указанного в пункте 23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Административного регламента, должностное лицо Комитета, ответственное за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предоставление услуги, в течение 15 рабочих дней с даты регистрации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заявления об исправлении ошибок, письменно сообщает заявителю </w:t>
        <w:br/>
        <w:t xml:space="preserve">об отсутствии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таких опечаток и (или) ошибок в выданных документах.</w:t>
      </w:r>
      <w:r>
        <w:rPr>
          <w:highlight w:val="none"/>
        </w:rPr>
        <w:t xml:space="preserve">»;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6) подраздел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Порядок осуществления текущего контроля за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соблюдением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 исполнением ответственными должностными лицами положений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Административного регламента и иных нормативных правовых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актов Российской Федерации, Ставропольского края,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муниципальных правовых актов города Ставрополя,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устанавливающих требования к предоставлению услуги,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 также принятием ими решений</w:t>
      </w:r>
      <w:r>
        <w:rPr>
          <w:sz w:val="28"/>
          <w:highlight w:val="none"/>
        </w:rPr>
        <w:t xml:space="preserve">» раздела 4 «</w:t>
      </w:r>
      <w:r>
        <w:rPr>
          <w:sz w:val="28"/>
          <w:highlight w:val="none"/>
        </w:rPr>
        <w:t xml:space="preserve">Формы контроля за исполнением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Административного регламента» изложить в следующей редакции:</w:t>
      </w:r>
      <w:r>
        <w:rPr>
          <w:highlight w:val="none"/>
        </w:rPr>
      </w:r>
      <w:r/>
    </w:p>
    <w:p>
      <w:pPr>
        <w:ind w:firstLine="709"/>
        <w:jc w:val="center"/>
        <w:spacing w:after="0" w:line="283" w:lineRule="exact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Порядок осуществления текущего контроля за соблюдением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 исполнением ответственными должностными лицами положений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Административного регламента и иных нормативных правовых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актов Российской Федерации, Ставропольского края,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муниципальных правовых актов города Ставрополя,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устанавливающих требования к предоставлению услуги,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 также принятием ими решений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highlight w:val="none"/>
        </w:rPr>
      </w:pPr>
      <w:r>
        <w:rPr>
          <w:sz w:val="28"/>
          <w:highlight w:val="none"/>
        </w:rPr>
        <w:t xml:space="preserve">7</w:t>
      </w:r>
      <w:r>
        <w:rPr>
          <w:sz w:val="28"/>
          <w:highlight w:val="none"/>
        </w:rPr>
        <w:t xml:space="preserve">7.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</w:t>
      </w:r>
      <w:r>
        <w:rPr>
          <w:sz w:val="28"/>
          <w:highlight w:val="none"/>
        </w:rPr>
        <w:t xml:space="preserve">ливающих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1</w:t>
      </w:r>
      <w:r>
        <w:rPr>
          <w:sz w:val="28"/>
          <w:highlight w:val="none"/>
        </w:rPr>
        <w:t xml:space="preserve">. Контроль полноты и качества предоставления муниципальной услуги </w:t>
      </w:r>
      <w:r>
        <w:rPr>
          <w:sz w:val="28"/>
          <w:highlight w:val="none"/>
        </w:rPr>
        <w:t xml:space="preserve">осуществляется уполномоченным  органом  администрации  города  Ставрополя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sz w:val="28"/>
          <w:highlight w:val="none"/>
        </w:rPr>
        <w:t xml:space="preserve"> уполномоченный орган) и включает в себя проведение проверок,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выявление и устранение нарушений прав заявителей, контроль за рассмотрением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и подготовкой ответов на обращения заявителей, содержащие жалобы на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решения, действия (бездействие) должностных лиц, специалистов Комитета и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Центра по предоставлению муниципальной услуги.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2</w:t>
      </w:r>
      <w:r>
        <w:rPr>
          <w:sz w:val="28"/>
          <w:highlight w:val="none"/>
        </w:rPr>
        <w:t xml:space="preserve">. Контроль полноты и качества предоставления муниципальной услуги </w:t>
      </w:r>
      <w:r>
        <w:rPr>
          <w:sz w:val="28"/>
          <w:highlight w:val="none"/>
        </w:rPr>
        <w:t xml:space="preserve">осуществляется как в плановом порядке, так и путем проведения внеплановых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контрольных мероприятий, в том числе по конкретному обращению заявителя.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3</w:t>
      </w:r>
      <w:r>
        <w:rPr>
          <w:sz w:val="28"/>
          <w:highlight w:val="none"/>
        </w:rPr>
        <w:t xml:space="preserve">. При проверках  могут  рассматриваться все вопросы, связанные с </w:t>
      </w:r>
      <w:r>
        <w:rPr>
          <w:sz w:val="28"/>
          <w:highlight w:val="none"/>
        </w:rPr>
        <w:t xml:space="preserve">предоставлением муниципальной услуги (комплексные проверки), или отдельные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вопросы (тематические проверки).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4</w:t>
      </w:r>
      <w:r>
        <w:rPr>
          <w:sz w:val="28"/>
          <w:highlight w:val="none"/>
        </w:rPr>
        <w:t xml:space="preserve">. Для проведения проверки полноты и качества предоставления </w:t>
      </w:r>
      <w:r>
        <w:rPr>
          <w:sz w:val="28"/>
          <w:highlight w:val="none"/>
        </w:rPr>
        <w:t xml:space="preserve">муниципальной услуги уполномоченным органом формируется комиссия в составе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должностных лиц уполномоченного органа, Администрации, Комитета и Центра.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5</w:t>
      </w:r>
      <w:r>
        <w:rPr>
          <w:sz w:val="28"/>
          <w:highlight w:val="none"/>
        </w:rPr>
        <w:t xml:space="preserve">. Периодичность проведения проверок полноты и качества </w:t>
      </w:r>
      <w:r>
        <w:rPr>
          <w:sz w:val="28"/>
          <w:highlight w:val="none"/>
        </w:rPr>
        <w:t xml:space="preserve">предоставления муниципальной услуги определяется уполномоченным органом, но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не реже одного раза в год.</w:t>
      </w:r>
      <w:r>
        <w:rPr>
          <w:sz w:val="28"/>
          <w:highlight w:val="none"/>
        </w:rPr>
        <w:t xml:space="preserve">»;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7)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разделе 5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Досудебный (внесудебный) порядок обжалования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решений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 действий (бездействия) органа, предоставляющего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муниципальную услугу, должностного лица органа,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предоставляющего муниципальную услугу, либо муниципального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служащего, многофункциональных центров предоставления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государственных и муниципальных услуг или их работников</w:t>
      </w:r>
      <w:r>
        <w:rPr>
          <w:highlight w:val="none"/>
        </w:rPr>
        <w:t xml:space="preserve">»: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  <w:vertAlign w:val="baseline"/>
        </w:rPr>
      </w:pPr>
      <w:r>
        <w:rPr>
          <w:sz w:val="28"/>
          <w:highlight w:val="none"/>
        </w:rPr>
        <w:t xml:space="preserve">а) в подпункте 7 пункта 91 цифры «77</w:t>
      </w:r>
      <w:r>
        <w:rPr>
          <w:sz w:val="28"/>
          <w:highlight w:val="none"/>
          <w:vertAlign w:val="superscript"/>
        </w:rPr>
        <w:t xml:space="preserve">3</w:t>
      </w:r>
      <w:r>
        <w:rPr>
          <w:sz w:val="28"/>
          <w:highlight w:val="none"/>
          <w:vertAlign w:val="baseline"/>
        </w:rPr>
        <w:t xml:space="preserve">» заменить цифрами «76</w:t>
      </w:r>
      <w:r>
        <w:rPr>
          <w:sz w:val="28"/>
          <w:highlight w:val="none"/>
          <w:vertAlign w:val="superscript"/>
        </w:rPr>
        <w:t xml:space="preserve">3</w:t>
      </w:r>
      <w:r>
        <w:rPr>
          <w:sz w:val="28"/>
          <w:highlight w:val="none"/>
          <w:vertAlign w:val="baseline"/>
        </w:rPr>
        <w:t xml:space="preserve">»;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  <w:vertAlign w:val="baseline"/>
        </w:rPr>
        <w:t xml:space="preserve">б) подразделы «</w:t>
      </w:r>
      <w:r>
        <w:rPr>
          <w:sz w:val="28"/>
          <w:highlight w:val="none"/>
          <w:vertAlign w:val="baseline"/>
        </w:rPr>
        <w:t xml:space="preserve">Порядок обжалования решения по жалобе», «</w:t>
      </w:r>
      <w:r>
        <w:rPr>
          <w:sz w:val="28"/>
          <w:highlight w:val="none"/>
          <w:vertAlign w:val="baseline"/>
        </w:rPr>
        <w:t xml:space="preserve">Право заявителя на получение информации и документов,</w:t>
      </w:r>
      <w:r>
        <w:rPr>
          <w:highlight w:val="none"/>
        </w:rPr>
        <w:t xml:space="preserve"> </w:t>
      </w:r>
      <w:r>
        <w:rPr>
          <w:sz w:val="28"/>
          <w:highlight w:val="none"/>
          <w:vertAlign w:val="baseline"/>
        </w:rPr>
        <w:t xml:space="preserve">необходимых для обоснования и рассмотрения жало</w:t>
      </w:r>
      <w:r>
        <w:rPr>
          <w:sz w:val="28"/>
          <w:highlight w:val="none"/>
          <w:vertAlign w:val="baseline"/>
        </w:rPr>
        <w:t xml:space="preserve">бы</w:t>
      </w:r>
      <w:r>
        <w:rPr>
          <w:sz w:val="28"/>
          <w:highlight w:val="none"/>
        </w:rPr>
        <w:t xml:space="preserve">» и «</w:t>
      </w:r>
      <w:r>
        <w:rPr>
          <w:sz w:val="28"/>
          <w:highlight w:val="none"/>
        </w:rPr>
        <w:t xml:space="preserve">Способы информирования заявителей о порядке подачи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и рассмотрения жалобы» изложить в следующей редакции:</w:t>
      </w:r>
      <w:r>
        <w:rPr>
          <w:highlight w:val="none"/>
        </w:rPr>
      </w:r>
      <w:r/>
    </w:p>
    <w:p>
      <w:pPr>
        <w:pStyle w:val="916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Порядок обжалования решения по жалобе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highlight w:val="none"/>
        </w:rPr>
      </w:r>
      <w:r/>
    </w:p>
    <w:p>
      <w:pPr>
        <w:pStyle w:val="916"/>
        <w:ind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110. 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Решение по жалобе может быть обжаловано в порядке, установленном законодательством Российской Федерации. 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highlight w:val="none"/>
        </w:rPr>
      </w:r>
      <w:r/>
    </w:p>
    <w:p>
      <w:pPr>
        <w:pStyle w:val="916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Право заявителя на получение информации и документов,</w:t>
      </w:r>
      <w:r>
        <w:rPr>
          <w:highlight w:val="none"/>
        </w:rPr>
      </w:r>
      <w:r/>
    </w:p>
    <w:p>
      <w:pPr>
        <w:pStyle w:val="916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необходимых для обоснования и рассмотрения жалобы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highlight w:val="none"/>
        </w:rPr>
      </w:r>
      <w:r/>
    </w:p>
    <w:p>
      <w:pPr>
        <w:pStyle w:val="916"/>
        <w:ind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111. 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Заявитель вправе получать информацию и докум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highlight w:val="none"/>
        </w:rPr>
      </w:r>
      <w:r/>
    </w:p>
    <w:p>
      <w:pPr>
        <w:pStyle w:val="916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Способы информирования заявителей о порядке подачи</w:t>
      </w:r>
      <w:r>
        <w:rPr>
          <w:highlight w:val="none"/>
        </w:rPr>
      </w:r>
      <w:r/>
    </w:p>
    <w:p>
      <w:pPr>
        <w:pStyle w:val="916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и рассмотрения жалобы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112. 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Информирование заявителей о порядке подачи и рассмотрения жалобы осуществляется в соответствии пунктом 7 Административного регламента.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».</w:t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/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multiLevelType w:val="hybridMultilevel"/>
    <w:lvl w:ilvl="0">
      <w:start w:val="30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2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7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5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multiLevelType w:val="hybridMultilevel"/>
    <w:lvl w:ilvl="0">
      <w:start w:val="8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9" w:hanging="360"/>
        <w:tabs>
          <w:tab w:val="num" w:pos="107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9" w:hanging="360"/>
        <w:tabs>
          <w:tab w:val="num" w:pos="179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9" w:hanging="180"/>
        <w:tabs>
          <w:tab w:val="num" w:pos="251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9" w:hanging="360"/>
        <w:tabs>
          <w:tab w:val="num" w:pos="32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9" w:hanging="360"/>
        <w:tabs>
          <w:tab w:val="num" w:pos="39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9" w:hanging="180"/>
        <w:tabs>
          <w:tab w:val="num" w:pos="46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9" w:hanging="360"/>
        <w:tabs>
          <w:tab w:val="num" w:pos="53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9" w:hanging="360"/>
        <w:tabs>
          <w:tab w:val="num" w:pos="61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9" w:hanging="180"/>
        <w:tabs>
          <w:tab w:val="num" w:pos="6839" w:leader="none"/>
        </w:tabs>
      </w:pPr>
    </w:lvl>
  </w:abstractNum>
  <w:abstractNum w:abstractNumId="19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70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2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7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5">
    <w:multiLevelType w:val="hybridMultilevel"/>
    <w:lvl w:ilvl="0">
      <w:start w:val="69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6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8">
    <w:multiLevelType w:val="hybridMultilevel"/>
    <w:lvl w:ilvl="0">
      <w:start w:val="7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multiLevelType w:val="hybridMultilevel"/>
    <w:lvl w:ilvl="0">
      <w:start w:val="6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2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4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6">
    <w:multiLevelType w:val="hybridMultilevel"/>
    <w:lvl w:ilvl="0">
      <w:start w:val="36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8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9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16"/>
    <w:next w:val="916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7">
    <w:name w:val="Heading 1 Char"/>
    <w:basedOn w:val="918"/>
    <w:link w:val="746"/>
    <w:uiPriority w:val="9"/>
    <w:rPr>
      <w:rFonts w:ascii="Arial" w:hAnsi="Arial" w:cs="Arial" w:eastAsia="Arial"/>
      <w:sz w:val="40"/>
      <w:szCs w:val="40"/>
    </w:rPr>
  </w:style>
  <w:style w:type="paragraph" w:styleId="748">
    <w:name w:val="Heading 2"/>
    <w:basedOn w:val="916"/>
    <w:next w:val="916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9">
    <w:name w:val="Heading 2 Char"/>
    <w:basedOn w:val="918"/>
    <w:link w:val="748"/>
    <w:uiPriority w:val="9"/>
    <w:rPr>
      <w:rFonts w:ascii="Arial" w:hAnsi="Arial" w:cs="Arial" w:eastAsia="Arial"/>
      <w:sz w:val="34"/>
    </w:rPr>
  </w:style>
  <w:style w:type="character" w:styleId="750">
    <w:name w:val="Heading 3 Char"/>
    <w:basedOn w:val="918"/>
    <w:link w:val="917"/>
    <w:uiPriority w:val="9"/>
    <w:rPr>
      <w:rFonts w:ascii="Arial" w:hAnsi="Arial" w:cs="Arial" w:eastAsia="Arial"/>
      <w:sz w:val="30"/>
      <w:szCs w:val="30"/>
    </w:rPr>
  </w:style>
  <w:style w:type="paragraph" w:styleId="751">
    <w:name w:val="Heading 4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2">
    <w:name w:val="Heading 4 Char"/>
    <w:basedOn w:val="918"/>
    <w:link w:val="751"/>
    <w:uiPriority w:val="9"/>
    <w:rPr>
      <w:rFonts w:ascii="Arial" w:hAnsi="Arial" w:cs="Arial" w:eastAsia="Arial"/>
      <w:b/>
      <w:bCs/>
      <w:sz w:val="26"/>
      <w:szCs w:val="26"/>
    </w:rPr>
  </w:style>
  <w:style w:type="paragraph" w:styleId="753">
    <w:name w:val="Heading 5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4">
    <w:name w:val="Heading 5 Char"/>
    <w:basedOn w:val="918"/>
    <w:link w:val="753"/>
    <w:uiPriority w:val="9"/>
    <w:rPr>
      <w:rFonts w:ascii="Arial" w:hAnsi="Arial" w:cs="Arial" w:eastAsia="Arial"/>
      <w:b/>
      <w:bCs/>
      <w:sz w:val="24"/>
      <w:szCs w:val="24"/>
    </w:rPr>
  </w:style>
  <w:style w:type="paragraph" w:styleId="755">
    <w:name w:val="Heading 6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6">
    <w:name w:val="Heading 6 Char"/>
    <w:basedOn w:val="918"/>
    <w:link w:val="755"/>
    <w:uiPriority w:val="9"/>
    <w:rPr>
      <w:rFonts w:ascii="Arial" w:hAnsi="Arial" w:cs="Arial" w:eastAsia="Arial"/>
      <w:b/>
      <w:bCs/>
      <w:sz w:val="22"/>
      <w:szCs w:val="22"/>
    </w:rPr>
  </w:style>
  <w:style w:type="paragraph" w:styleId="757">
    <w:name w:val="Heading 7"/>
    <w:basedOn w:val="916"/>
    <w:next w:val="916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8">
    <w:name w:val="Heading 7 Char"/>
    <w:basedOn w:val="918"/>
    <w:link w:val="7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9">
    <w:name w:val="Heading 8"/>
    <w:basedOn w:val="916"/>
    <w:next w:val="916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0">
    <w:name w:val="Heading 8 Char"/>
    <w:basedOn w:val="918"/>
    <w:link w:val="759"/>
    <w:uiPriority w:val="9"/>
    <w:rPr>
      <w:rFonts w:ascii="Arial" w:hAnsi="Arial" w:cs="Arial" w:eastAsia="Arial"/>
      <w:i/>
      <w:iCs/>
      <w:sz w:val="22"/>
      <w:szCs w:val="22"/>
    </w:rPr>
  </w:style>
  <w:style w:type="paragraph" w:styleId="761">
    <w:name w:val="Heading 9"/>
    <w:basedOn w:val="916"/>
    <w:next w:val="916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2">
    <w:name w:val="Heading 9 Char"/>
    <w:basedOn w:val="918"/>
    <w:link w:val="761"/>
    <w:uiPriority w:val="9"/>
    <w:rPr>
      <w:rFonts w:ascii="Arial" w:hAnsi="Arial" w:cs="Arial" w:eastAsia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16"/>
    <w:next w:val="916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18"/>
    <w:link w:val="764"/>
    <w:uiPriority w:val="10"/>
    <w:rPr>
      <w:sz w:val="48"/>
      <w:szCs w:val="48"/>
    </w:rPr>
  </w:style>
  <w:style w:type="paragraph" w:styleId="766">
    <w:name w:val="Subtitle"/>
    <w:basedOn w:val="916"/>
    <w:next w:val="916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18"/>
    <w:link w:val="766"/>
    <w:uiPriority w:val="11"/>
    <w:rPr>
      <w:sz w:val="24"/>
      <w:szCs w:val="24"/>
    </w:rPr>
  </w:style>
  <w:style w:type="paragraph" w:styleId="768">
    <w:name w:val="Quote"/>
    <w:basedOn w:val="916"/>
    <w:next w:val="916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6"/>
    <w:next w:val="916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18"/>
    <w:link w:val="925"/>
    <w:uiPriority w:val="99"/>
  </w:style>
  <w:style w:type="character" w:styleId="773">
    <w:name w:val="Footer Char"/>
    <w:basedOn w:val="918"/>
    <w:link w:val="927"/>
    <w:uiPriority w:val="99"/>
  </w:style>
  <w:style w:type="paragraph" w:styleId="774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27"/>
    <w:uiPriority w:val="99"/>
  </w:style>
  <w:style w:type="table" w:styleId="776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1">
    <w:name w:val="footnote text"/>
    <w:basedOn w:val="916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18"/>
    <w:uiPriority w:val="99"/>
    <w:unhideWhenUsed/>
    <w:rPr>
      <w:vertAlign w:val="superscript"/>
    </w:rPr>
  </w:style>
  <w:style w:type="character" w:styleId="904">
    <w:name w:val="Endnote Text Char"/>
    <w:link w:val="934"/>
    <w:uiPriority w:val="99"/>
    <w:rPr>
      <w:sz w:val="20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rPr>
      <w:rFonts w:eastAsia="Calibri"/>
      <w:sz w:val="24"/>
      <w:szCs w:val="24"/>
    </w:rPr>
  </w:style>
  <w:style w:type="paragraph" w:styleId="917">
    <w:name w:val="Heading 3"/>
    <w:basedOn w:val="916"/>
    <w:link w:val="938"/>
    <w:uiPriority w:val="9"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paragraph" w:styleId="921">
    <w:name w:val="Normal (Web)"/>
    <w:basedOn w:val="916"/>
    <w:semiHidden/>
    <w:pPr>
      <w:spacing w:before="100" w:beforeAutospacing="1" w:after="100" w:afterAutospacing="1"/>
    </w:pPr>
    <w:rPr>
      <w:rFonts w:eastAsia="Times New Roman"/>
    </w:rPr>
  </w:style>
  <w:style w:type="paragraph" w:styleId="922" w:customStyle="1">
    <w:name w:val="ConsPlusNormal"/>
    <w:pPr>
      <w:ind w:firstLine="720"/>
      <w:widowControl w:val="off"/>
    </w:pPr>
    <w:rPr>
      <w:rFonts w:ascii="Arial" w:hAnsi="Arial" w:cs="Arial" w:eastAsia="Calibri"/>
    </w:rPr>
  </w:style>
  <w:style w:type="paragraph" w:styleId="923" w:customStyle="1">
    <w:name w:val="u"/>
    <w:basedOn w:val="916"/>
    <w:pPr>
      <w:ind w:firstLine="390"/>
      <w:jc w:val="both"/>
    </w:pPr>
  </w:style>
  <w:style w:type="character" w:styleId="924">
    <w:name w:val="Hyperlink"/>
    <w:semiHidden/>
    <w:rPr>
      <w:color w:val="0000FF"/>
      <w:u w:val="single"/>
    </w:rPr>
  </w:style>
  <w:style w:type="paragraph" w:styleId="925">
    <w:name w:val="Header"/>
    <w:basedOn w:val="916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26">
    <w:name w:val="page number"/>
    <w:basedOn w:val="918"/>
  </w:style>
  <w:style w:type="paragraph" w:styleId="927">
    <w:name w:val="Footer"/>
    <w:basedOn w:val="916"/>
    <w:pPr>
      <w:tabs>
        <w:tab w:val="center" w:pos="4677" w:leader="none"/>
        <w:tab w:val="right" w:pos="9355" w:leader="none"/>
      </w:tabs>
    </w:pPr>
  </w:style>
  <w:style w:type="paragraph" w:styleId="928" w:customStyle="1">
    <w:name w:val="ConsPlusNonformat"/>
    <w:rPr>
      <w:rFonts w:ascii="Courier New" w:hAnsi="Courier New" w:cs="Courier New"/>
    </w:rPr>
  </w:style>
  <w:style w:type="paragraph" w:styleId="929" w:customStyle="1">
    <w:name w:val="Абзац списка1"/>
    <w:basedOn w:val="916"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0">
    <w:name w:val="List Paragraph"/>
    <w:basedOn w:val="916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1">
    <w:name w:val="Balloon Text"/>
    <w:basedOn w:val="916"/>
    <w:link w:val="932"/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link w:val="931"/>
    <w:rPr>
      <w:rFonts w:ascii="Tahoma" w:hAnsi="Tahoma" w:cs="Tahoma" w:eastAsia="Calibri"/>
      <w:sz w:val="16"/>
      <w:szCs w:val="16"/>
    </w:rPr>
  </w:style>
  <w:style w:type="character" w:styleId="933" w:customStyle="1">
    <w:name w:val="Верхний колонтитул Знак"/>
    <w:link w:val="925"/>
    <w:uiPriority w:val="99"/>
    <w:rPr>
      <w:rFonts w:eastAsia="Calibri"/>
      <w:sz w:val="24"/>
      <w:szCs w:val="24"/>
    </w:rPr>
  </w:style>
  <w:style w:type="paragraph" w:styleId="934">
    <w:name w:val="endnote text"/>
    <w:basedOn w:val="916"/>
    <w:link w:val="935"/>
    <w:uiPriority w:val="99"/>
    <w:rPr>
      <w:rFonts w:eastAsia="Times New Roman"/>
      <w:sz w:val="20"/>
      <w:szCs w:val="20"/>
    </w:rPr>
  </w:style>
  <w:style w:type="character" w:styleId="935" w:customStyle="1">
    <w:name w:val="Текст концевой сноски Знак"/>
    <w:link w:val="934"/>
    <w:uiPriority w:val="99"/>
    <w:rPr>
      <w:rFonts w:eastAsia="Times New Roman"/>
    </w:rPr>
  </w:style>
  <w:style w:type="character" w:styleId="936">
    <w:name w:val="endnote reference"/>
    <w:uiPriority w:val="99"/>
    <w:rPr>
      <w:vertAlign w:val="superscript"/>
    </w:rPr>
  </w:style>
  <w:style w:type="paragraph" w:styleId="93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38" w:customStyle="1">
    <w:name w:val="Заголовок 3 Знак"/>
    <w:basedOn w:val="918"/>
    <w:link w:val="917"/>
    <w:uiPriority w:val="9"/>
    <w:rPr>
      <w:b/>
      <w:bCs/>
      <w:sz w:val="27"/>
      <w:szCs w:val="27"/>
    </w:rPr>
  </w:style>
  <w:style w:type="table" w:styleId="939">
    <w:name w:val="Table Grid"/>
    <w:basedOn w:val="919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16D1163-A282-44A3-9F47-35854EF9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revision>12</cp:revision>
  <dcterms:created xsi:type="dcterms:W3CDTF">2022-02-21T08:08:00Z</dcterms:created>
  <dcterms:modified xsi:type="dcterms:W3CDTF">2023-02-07T12:35:25Z</dcterms:modified>
</cp:coreProperties>
</file>