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9"/>
          <w:szCs w:val="28"/>
        </w:rPr>
        <w:outlineLvl w:val="0"/>
      </w:pPr>
      <w:r>
        <w:rPr>
          <w:sz w:val="29"/>
          <w:szCs w:val="28"/>
        </w:rPr>
        <w:t xml:space="preserve">П</w:t>
      </w:r>
      <w:r>
        <w:rPr>
          <w:sz w:val="29"/>
          <w:szCs w:val="28"/>
        </w:rPr>
        <w:t xml:space="preserve">ОЯСНИТЕЛЬНАЯ ЗАПИСКА</w:t>
      </w:r>
      <w:r>
        <w:rPr>
          <w:sz w:val="29"/>
        </w:rPr>
      </w:r>
      <w:r>
        <w:rPr>
          <w:sz w:val="29"/>
        </w:rPr>
      </w:r>
    </w:p>
    <w:p>
      <w:pPr>
        <w:jc w:val="both"/>
        <w:spacing w:line="240" w:lineRule="exact"/>
        <w:rPr>
          <w:sz w:val="29"/>
          <w:szCs w:val="28"/>
        </w:rPr>
      </w:pPr>
      <w:r>
        <w:rPr>
          <w:sz w:val="29"/>
          <w:szCs w:val="28"/>
        </w:rPr>
        <w:t xml:space="preserve">к проекту решения Ставропольской городской Думы «</w:t>
      </w:r>
      <w:r>
        <w:rPr>
          <w:sz w:val="29"/>
          <w:szCs w:val="28"/>
        </w:rPr>
        <w:t xml:space="preserve">О внесении изменени</w:t>
      </w:r>
      <w:r>
        <w:rPr>
          <w:sz w:val="29"/>
          <w:szCs w:val="28"/>
        </w:rPr>
        <w:t xml:space="preserve">я </w:t>
      </w:r>
      <w:r>
        <w:rPr>
          <w:sz w:val="29"/>
          <w:szCs w:val="28"/>
        </w:rPr>
        <w:t xml:space="preserve">в </w:t>
      </w:r>
      <w:r>
        <w:rPr>
          <w:sz w:val="29"/>
          <w:szCs w:val="28"/>
        </w:rPr>
        <w:t xml:space="preserve">абзац четырнадцатый </w:t>
      </w:r>
      <w:r>
        <w:rPr>
          <w:sz w:val="29"/>
          <w:szCs w:val="28"/>
        </w:rPr>
        <w:t xml:space="preserve">подпункт</w:t>
      </w:r>
      <w:r>
        <w:rPr>
          <w:sz w:val="29"/>
          <w:szCs w:val="28"/>
        </w:rPr>
        <w:t xml:space="preserve">а</w:t>
      </w:r>
      <w:r>
        <w:rPr>
          <w:sz w:val="29"/>
          <w:szCs w:val="28"/>
        </w:rPr>
        <w:t xml:space="preserve"> 2.1 пункта 2 решения</w:t>
      </w:r>
      <w:r>
        <w:rPr>
          <w:sz w:val="29"/>
          <w:szCs w:val="28"/>
        </w:rPr>
        <w:t xml:space="preserve"> Ст</w:t>
      </w:r>
      <w:r>
        <w:rPr>
          <w:sz w:val="29"/>
          <w:szCs w:val="28"/>
        </w:rPr>
        <w:t xml:space="preserve">авропольской городской Думы</w:t>
      </w:r>
      <w:r>
        <w:rPr>
          <w:sz w:val="29"/>
          <w:szCs w:val="28"/>
        </w:rPr>
        <w:t xml:space="preserve"> от 14 ноября 2005 года № 149</w:t>
      </w:r>
      <w:r>
        <w:rPr>
          <w:sz w:val="29"/>
        </w:rPr>
        <w:t xml:space="preserve"> </w:t>
      </w:r>
      <w:r>
        <w:rPr>
          <w:sz w:val="29"/>
          <w:szCs w:val="28"/>
        </w:rPr>
        <w:t xml:space="preserve">«Об </w:t>
      </w:r>
      <w:r>
        <w:rPr>
          <w:sz w:val="29"/>
          <w:szCs w:val="28"/>
        </w:rPr>
        <w:t xml:space="preserve">установлении земельного налога и введении его в действие на территории города Ставрополя</w:t>
      </w:r>
      <w:r>
        <w:rPr>
          <w:sz w:val="29"/>
          <w:szCs w:val="28"/>
        </w:rPr>
        <w:t xml:space="preserve">»</w:t>
      </w:r>
      <w:r>
        <w:rPr>
          <w:sz w:val="29"/>
        </w:rPr>
      </w:r>
      <w:r>
        <w:rPr>
          <w:sz w:val="29"/>
        </w:rPr>
      </w:r>
    </w:p>
    <w:p>
      <w:pPr>
        <w:ind w:firstLine="709"/>
        <w:jc w:val="both"/>
        <w:rPr>
          <w:sz w:val="29"/>
          <w:szCs w:val="28"/>
        </w:rPr>
      </w:pPr>
      <w:r>
        <w:rPr>
          <w:sz w:val="29"/>
          <w:szCs w:val="28"/>
        </w:rPr>
      </w:r>
      <w:r>
        <w:rPr>
          <w:sz w:val="29"/>
          <w:szCs w:val="28"/>
        </w:rPr>
      </w:r>
      <w:r>
        <w:rPr>
          <w:sz w:val="29"/>
          <w:szCs w:val="28"/>
        </w:rPr>
      </w:r>
    </w:p>
    <w:p>
      <w:pPr>
        <w:ind w:firstLine="709"/>
        <w:jc w:val="both"/>
        <w:spacing w:line="240" w:lineRule="auto"/>
        <w:rPr>
          <w:sz w:val="29"/>
          <w:szCs w:val="28"/>
        </w:rPr>
      </w:pPr>
      <w:r>
        <w:rPr>
          <w:sz w:val="29"/>
          <w:szCs w:val="28"/>
        </w:rPr>
      </w:r>
      <w:r>
        <w:rPr>
          <w:sz w:val="29"/>
          <w:szCs w:val="28"/>
        </w:rPr>
        <w:t xml:space="preserve">Настоящий п</w:t>
      </w:r>
      <w:r>
        <w:rPr>
          <w:sz w:val="29"/>
          <w:szCs w:val="28"/>
        </w:rPr>
        <w:t xml:space="preserve">р</w:t>
      </w:r>
      <w:r>
        <w:rPr>
          <w:sz w:val="29"/>
          <w:szCs w:val="28"/>
        </w:rPr>
        <w:t xml:space="preserve">оект </w:t>
      </w:r>
      <w:r>
        <w:rPr>
          <w:sz w:val="29"/>
          <w:szCs w:val="28"/>
        </w:rPr>
        <w:t xml:space="preserve">решения Ставропольской городской Думы </w:t>
        <w:br/>
        <w:t xml:space="preserve">«</w:t>
      </w:r>
      <w:r>
        <w:rPr>
          <w:sz w:val="29"/>
          <w:szCs w:val="28"/>
        </w:rPr>
        <w:t xml:space="preserve">О внесении изменени</w:t>
      </w:r>
      <w:r>
        <w:rPr>
          <w:sz w:val="29"/>
          <w:szCs w:val="28"/>
        </w:rPr>
        <w:t xml:space="preserve">я </w:t>
      </w:r>
      <w:r>
        <w:rPr>
          <w:sz w:val="29"/>
          <w:szCs w:val="28"/>
        </w:rPr>
        <w:t xml:space="preserve">в </w:t>
      </w:r>
      <w:r>
        <w:rPr>
          <w:sz w:val="29"/>
          <w:szCs w:val="28"/>
        </w:rPr>
        <w:t xml:space="preserve">абзац четырнадцатый </w:t>
      </w:r>
      <w:r>
        <w:rPr>
          <w:sz w:val="29"/>
          <w:szCs w:val="28"/>
        </w:rPr>
        <w:t xml:space="preserve">подпункт</w:t>
      </w:r>
      <w:r>
        <w:rPr>
          <w:sz w:val="29"/>
          <w:szCs w:val="28"/>
        </w:rPr>
        <w:t xml:space="preserve">а</w:t>
      </w:r>
      <w:r>
        <w:rPr>
          <w:sz w:val="29"/>
          <w:szCs w:val="28"/>
        </w:rPr>
        <w:t xml:space="preserve"> 2.1 пункта 2 решения</w:t>
      </w:r>
      <w:r>
        <w:rPr>
          <w:sz w:val="29"/>
          <w:szCs w:val="28"/>
        </w:rPr>
        <w:t xml:space="preserve"> Ст</w:t>
      </w:r>
      <w:r>
        <w:rPr>
          <w:sz w:val="29"/>
          <w:szCs w:val="28"/>
        </w:rPr>
        <w:t xml:space="preserve">авропольской городской Думы</w:t>
      </w:r>
      <w:r>
        <w:rPr>
          <w:sz w:val="29"/>
          <w:szCs w:val="28"/>
        </w:rPr>
        <w:t xml:space="preserve"> от 11 ноября 2005 г. № 149</w:t>
      </w:r>
      <w:r>
        <w:rPr>
          <w:sz w:val="29"/>
          <w:szCs w:val="28"/>
        </w:rPr>
        <w:t xml:space="preserve"> «Об </w:t>
      </w:r>
      <w:r>
        <w:rPr>
          <w:sz w:val="29"/>
          <w:szCs w:val="28"/>
        </w:rPr>
        <w:t xml:space="preserve">установлении земельного налога и введении его в действие </w:t>
        <w:br/>
        <w:t xml:space="preserve">на территории города Ставрополя</w:t>
      </w:r>
      <w:r>
        <w:rPr>
          <w:sz w:val="29"/>
          <w:szCs w:val="28"/>
        </w:rPr>
        <w:t xml:space="preserve">»</w:t>
      </w:r>
      <w:r>
        <w:rPr>
          <w:sz w:val="29"/>
          <w:szCs w:val="28"/>
        </w:rPr>
        <w:t xml:space="preserve"> (далее – проект решения) подготовлен </w:t>
        <w:br/>
        <w:t xml:space="preserve">в соответствии с постановлением Правительства Российской Федерации </w:t>
        <w:br/>
        <w:t xml:space="preserve">от 04 августа 2015 г. № 794 «Об индустриальных (промышленных) парках </w:t>
        <w:br/>
        <w:t xml:space="preserve">и управляющих компаниях индустриальных (промышленных) парков»</w:t>
      </w:r>
      <w:r>
        <w:rPr>
          <w:sz w:val="29"/>
          <w:szCs w:val="28"/>
        </w:rPr>
        <w:t xml:space="preserve">, </w:t>
      </w:r>
      <w:r>
        <w:rPr>
          <w:sz w:val="29"/>
          <w:szCs w:val="28"/>
        </w:rPr>
        <w:t xml:space="preserve">приказом Министерства промышленности и торговли Российской Федерации от 07 октября 2021 г. № 4012 «О признании утратившими силу приказов Министерства промышленности и торговли Российской Федерации от 09 февраля 2016 г. № 303 и от 18 февраля 2019 г. № 450»</w:t>
      </w:r>
      <w:r>
        <w:rPr>
          <w:sz w:val="29"/>
          <w:szCs w:val="28"/>
        </w:rPr>
        <w:t xml:space="preserve">, </w:t>
      </w:r>
      <w:r>
        <w:rPr>
          <w:sz w:val="29"/>
          <w:szCs w:val="28"/>
        </w:rPr>
        <w:t xml:space="preserve">Уставом муниципального образования города Ставрополя Ставропольского края Ставропольская городская Дума</w:t>
      </w:r>
      <w:r>
        <w:rPr>
          <w:sz w:val="29"/>
          <w:szCs w:val="28"/>
        </w:rPr>
        <w:t xml:space="preserve">.</w:t>
      </w:r>
      <w:r>
        <w:rPr>
          <w:sz w:val="29"/>
        </w:rPr>
      </w:r>
      <w:r>
        <w:rPr>
          <w:sz w:val="29"/>
        </w:rPr>
      </w:r>
    </w:p>
    <w:p>
      <w:pPr>
        <w:ind w:firstLine="708"/>
        <w:jc w:val="both"/>
        <w:spacing w:line="240" w:lineRule="auto"/>
        <w:rPr>
          <w:sz w:val="29"/>
          <w:highlight w:val="none"/>
        </w:rPr>
      </w:pPr>
      <w:r>
        <w:rPr>
          <w:sz w:val="29"/>
          <w:highlight w:val="none"/>
        </w:rPr>
        <w:t xml:space="preserve">В соответствии с решением Ставропольской городской Думы </w:t>
        <w:br/>
        <w:t xml:space="preserve">от 11 ноября 2005 г. № 149 «Об установлении земельного налога и введении его в действие на территории города Ставрополя» предоставляется льгота </w:t>
        <w:br/>
        <w:t xml:space="preserve">на уплату земельного налога на земельные участки</w:t>
      </w:r>
      <w:r>
        <w:rPr>
          <w:sz w:val="29"/>
          <w:highlight w:val="none"/>
        </w:rPr>
        <w:t xml:space="preserve">, находящиеся </w:t>
        <w:br/>
        <w:t xml:space="preserve">в собственности АО КИП «Мастер» (СКИП «Мастер»). </w:t>
      </w:r>
      <w:r>
        <w:rPr>
          <w:sz w:val="29"/>
          <w:highlight w:val="none"/>
        </w:rPr>
      </w:r>
      <w:r>
        <w:rPr>
          <w:sz w:val="29"/>
        </w:rPr>
      </w:r>
    </w:p>
    <w:p>
      <w:pPr>
        <w:ind w:firstLine="708"/>
        <w:jc w:val="both"/>
        <w:spacing w:line="240" w:lineRule="auto"/>
        <w:rPr>
          <w:sz w:val="29"/>
          <w:highlight w:val="none"/>
        </w:rPr>
      </w:pPr>
      <w:r>
        <w:rPr>
          <w:sz w:val="29"/>
          <w:highlight w:val="none"/>
        </w:rPr>
        <w:t xml:space="preserve">По итогам 2022 года сумма выпадающего дохода бюджета </w:t>
        <w:br/>
        <w:t xml:space="preserve">города Ставрополя составила 9 295,7 тыс. рублей. </w:t>
      </w:r>
      <w:r>
        <w:rPr>
          <w:sz w:val="29"/>
          <w:highlight w:val="none"/>
        </w:rPr>
      </w:r>
      <w:r>
        <w:rPr>
          <w:sz w:val="29"/>
        </w:rPr>
      </w:r>
    </w:p>
    <w:p>
      <w:pPr>
        <w:ind w:firstLine="708"/>
        <w:jc w:val="both"/>
        <w:spacing w:line="240" w:lineRule="auto"/>
        <w:rPr>
          <w:sz w:val="29"/>
        </w:rPr>
      </w:pPr>
      <w:r>
        <w:rPr>
          <w:sz w:val="29"/>
          <w:highlight w:val="none"/>
        </w:rPr>
        <w:t xml:space="preserve">На территории АО КИП «Мастер» (СКИП «Мастер») размещены </w:t>
        <w:br/>
        <w:t xml:space="preserve">114 арендаторов, 50 из которых являются резидентами промышленной направленности, предоставляющими 872 рабочих места со средней заработной платой 27 193,86 рублей.</w:t>
      </w:r>
      <w:r>
        <w:rPr>
          <w:sz w:val="29"/>
          <w:highlight w:val="none"/>
        </w:rPr>
      </w:r>
      <w:r>
        <w:rPr>
          <w:sz w:val="29"/>
        </w:rPr>
      </w:r>
    </w:p>
    <w:p>
      <w:pPr>
        <w:ind w:firstLine="708"/>
        <w:jc w:val="both"/>
        <w:spacing w:line="240" w:lineRule="auto"/>
        <w:rPr>
          <w:sz w:val="29"/>
        </w:rPr>
      </w:pPr>
      <w:r>
        <w:rPr>
          <w:sz w:val="29"/>
          <w:highlight w:val="none"/>
        </w:rPr>
        <w:t xml:space="preserve">Ориентировочный объем продукции, произведенной резидентами </w:t>
        <w:br/>
        <w:t xml:space="preserve">в 2022 году </w:t>
      </w:r>
      <w:r>
        <w:rPr>
          <w:sz w:val="29"/>
          <w:szCs w:val="28"/>
        </w:rPr>
        <w:t xml:space="preserve">–</w:t>
      </w:r>
      <w:r>
        <w:rPr>
          <w:sz w:val="29"/>
          <w:highlight w:val="none"/>
        </w:rPr>
        <w:t xml:space="preserve"> 2 283 млн рублей, сумма налоговых отчислений в бюджеты всех уровней </w:t>
      </w:r>
      <w:r>
        <w:rPr>
          <w:sz w:val="29"/>
          <w:szCs w:val="28"/>
        </w:rPr>
        <w:t xml:space="preserve">–</w:t>
      </w:r>
      <w:r>
        <w:rPr>
          <w:sz w:val="29"/>
          <w:highlight w:val="none"/>
        </w:rPr>
        <w:t xml:space="preserve"> 390,0 млн рублей.</w:t>
      </w:r>
      <w:r>
        <w:rPr>
          <w:sz w:val="29"/>
          <w:highlight w:val="none"/>
        </w:rPr>
      </w:r>
      <w:r>
        <w:rPr>
          <w:sz w:val="29"/>
        </w:rPr>
      </w:r>
    </w:p>
    <w:p>
      <w:pPr>
        <w:ind w:firstLine="708"/>
        <w:jc w:val="both"/>
        <w:spacing w:line="240" w:lineRule="auto"/>
        <w:rPr>
          <w:sz w:val="29"/>
          <w:highlight w:val="none"/>
        </w:rPr>
      </w:pPr>
      <w:r>
        <w:rPr>
          <w:sz w:val="29"/>
          <w:highlight w:val="none"/>
        </w:rPr>
        <w:t xml:space="preserve">Объем инвестиций в проектирование и строительство объектов промышленной инфраструктуры АО КИП «Мастер» (СКИП «Мастер») </w:t>
      </w:r>
      <w:r>
        <w:rPr>
          <w:sz w:val="29"/>
          <w:szCs w:val="28"/>
        </w:rPr>
        <w:t xml:space="preserve">–</w:t>
      </w:r>
      <w:r>
        <w:rPr>
          <w:sz w:val="29"/>
          <w:highlight w:val="none"/>
        </w:rPr>
        <w:t xml:space="preserve"> 55,2 млн рублей, объем инвестиций резидентов </w:t>
      </w:r>
      <w:r>
        <w:rPr>
          <w:sz w:val="29"/>
          <w:szCs w:val="28"/>
        </w:rPr>
        <w:t xml:space="preserve">–</w:t>
      </w:r>
      <w:r>
        <w:rPr>
          <w:sz w:val="29"/>
          <w:highlight w:val="none"/>
        </w:rPr>
        <w:t xml:space="preserve"> 65,5 млн рублей.</w:t>
      </w:r>
      <w:r>
        <w:rPr>
          <w:sz w:val="29"/>
          <w:highlight w:val="none"/>
        </w:rPr>
      </w:r>
      <w:r>
        <w:rPr>
          <w:sz w:val="29"/>
        </w:rPr>
      </w:r>
    </w:p>
    <w:p>
      <w:pPr>
        <w:ind w:firstLine="708"/>
        <w:jc w:val="both"/>
        <w:spacing w:line="240" w:lineRule="auto"/>
        <w:rPr>
          <w:sz w:val="29"/>
          <w:highlight w:val="none"/>
        </w:rPr>
      </w:pPr>
      <w:r>
        <w:rPr>
          <w:sz w:val="29"/>
          <w:highlight w:val="none"/>
        </w:rPr>
        <w:t xml:space="preserve">Основной стратегической целью </w:t>
      </w:r>
      <w:r>
        <w:rPr>
          <w:sz w:val="29"/>
          <w:highlight w:val="none"/>
        </w:rPr>
        <w:t xml:space="preserve">АО КИП «Мастер» (СКИП «Мастер») является поддержка субъектов предпринимательства посредством предоставления производственных площадей по низкой стоимости аренды, </w:t>
        <w:br/>
        <w:t xml:space="preserve">в том числе за счет имеющихся налоговых льгот.</w:t>
      </w:r>
      <w:r>
        <w:rPr>
          <w:sz w:val="29"/>
          <w:highlight w:val="none"/>
        </w:rPr>
      </w:r>
      <w:r>
        <w:rPr>
          <w:sz w:val="29"/>
          <w:highlight w:val="none"/>
        </w:rPr>
      </w:r>
    </w:p>
    <w:p>
      <w:pPr>
        <w:ind w:firstLine="708"/>
        <w:jc w:val="both"/>
        <w:spacing w:line="240" w:lineRule="auto"/>
        <w:rPr>
          <w:sz w:val="29"/>
          <w:highlight w:val="none"/>
        </w:rPr>
      </w:pPr>
      <w:r>
        <w:rPr>
          <w:sz w:val="29"/>
          <w:highlight w:val="none"/>
        </w:rPr>
      </w:r>
      <w:r>
        <w:rPr>
          <w:sz w:val="29"/>
          <w:highlight w:val="none"/>
        </w:rPr>
        <w:t xml:space="preserve">Принятие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проекта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решения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будет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способствовать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улучшению инвестиционной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составляющей,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повысит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привлекательность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города Ставрополя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для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новых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инвесторов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и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экономический</w:t>
      </w:r>
      <w:r>
        <w:rPr>
          <w:rFonts w:ascii="Times New Roman" w:hAnsi="Times New Roman" w:cs="Times New Roman" w:eastAsia="Times New Roman"/>
          <w:sz w:val="2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9"/>
          <w:szCs w:val="28"/>
        </w:rPr>
        <w:t xml:space="preserve">потенциал Ставропольского края в целом</w:t>
      </w:r>
      <w:r>
        <w:rPr>
          <w:sz w:val="29"/>
          <w:highlight w:val="none"/>
        </w:rPr>
        <w:t xml:space="preserve">.</w:t>
      </w:r>
      <w:r>
        <w:rPr>
          <w:sz w:val="29"/>
        </w:rPr>
      </w:r>
    </w:p>
    <w:p>
      <w:pPr>
        <w:ind w:firstLine="708"/>
        <w:jc w:val="both"/>
        <w:spacing w:line="240" w:lineRule="auto"/>
        <w:rPr>
          <w:sz w:val="29"/>
        </w:rPr>
      </w:pPr>
      <w:r>
        <w:rPr>
          <w:sz w:val="29"/>
          <w:highlight w:val="none"/>
        </w:rPr>
      </w:r>
      <w:r>
        <w:rPr>
          <w:sz w:val="29"/>
          <w:szCs w:val="28"/>
        </w:rPr>
        <w:t xml:space="preserve">На</w:t>
      </w:r>
      <w:r>
        <w:rPr>
          <w:sz w:val="2"/>
          <w:szCs w:val="28"/>
        </w:rPr>
        <w:t xml:space="preserve"> </w:t>
      </w:r>
      <w:r>
        <w:rPr>
          <w:sz w:val="29"/>
          <w:szCs w:val="28"/>
        </w:rPr>
        <w:t xml:space="preserve">основании</w:t>
      </w:r>
      <w:r>
        <w:rPr>
          <w:sz w:val="2"/>
          <w:szCs w:val="28"/>
        </w:rPr>
        <w:t xml:space="preserve"> </w:t>
      </w:r>
      <w:r>
        <w:rPr>
          <w:sz w:val="29"/>
          <w:szCs w:val="28"/>
        </w:rPr>
        <w:t xml:space="preserve">вышеизложенного</w:t>
      </w:r>
      <w:r>
        <w:rPr>
          <w:sz w:val="29"/>
          <w:szCs w:val="28"/>
        </w:rPr>
        <w:t xml:space="preserve">,</w:t>
      </w:r>
      <w:r>
        <w:rPr>
          <w:sz w:val="2"/>
          <w:szCs w:val="28"/>
        </w:rPr>
        <w:t xml:space="preserve"> </w:t>
      </w:r>
      <w:r>
        <w:rPr>
          <w:sz w:val="29"/>
          <w:szCs w:val="28"/>
        </w:rPr>
        <w:t xml:space="preserve">проектом</w:t>
      </w:r>
      <w:r>
        <w:rPr>
          <w:sz w:val="2"/>
          <w:szCs w:val="28"/>
        </w:rPr>
        <w:t xml:space="preserve"> </w:t>
      </w:r>
      <w:r>
        <w:rPr>
          <w:sz w:val="29"/>
          <w:szCs w:val="28"/>
        </w:rPr>
        <w:t xml:space="preserve">решения</w:t>
      </w:r>
      <w:r>
        <w:rPr>
          <w:sz w:val="2"/>
          <w:szCs w:val="28"/>
        </w:rPr>
        <w:t xml:space="preserve"> </w:t>
      </w:r>
      <w:r>
        <w:rPr>
          <w:sz w:val="29"/>
          <w:szCs w:val="28"/>
        </w:rPr>
        <w:t xml:space="preserve">предлагается</w:t>
      </w:r>
      <w:r>
        <w:rPr>
          <w:sz w:val="29"/>
          <w:szCs w:val="28"/>
        </w:rPr>
        <w:t xml:space="preserve"> </w:t>
      </w:r>
      <w:r>
        <w:rPr>
          <w:sz w:val="29"/>
          <w:highlight w:val="none"/>
        </w:rPr>
        <w:t xml:space="preserve">продлить</w:t>
      </w:r>
      <w:r>
        <w:rPr>
          <w:sz w:val="4"/>
          <w:highlight w:val="none"/>
        </w:rPr>
        <w:t xml:space="preserve"> </w:t>
      </w:r>
      <w:r>
        <w:rPr>
          <w:sz w:val="29"/>
          <w:highlight w:val="none"/>
        </w:rPr>
        <w:t xml:space="preserve">срок</w:t>
      </w:r>
      <w:r>
        <w:rPr>
          <w:sz w:val="24"/>
          <w:highlight w:val="none"/>
        </w:rPr>
        <w:t xml:space="preserve"> </w:t>
      </w:r>
      <w:r>
        <w:rPr>
          <w:sz w:val="29"/>
          <w:highlight w:val="none"/>
        </w:rPr>
        <w:t xml:space="preserve">предоставления льготы на полное освобождение от земельного налога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юридическим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лицам,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земельные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участки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которых</w:t>
      </w:r>
      <w:r>
        <w:rPr>
          <w:sz w:val="2"/>
          <w:highlight w:val="none"/>
        </w:rPr>
        <w:t xml:space="preserve"> </w:t>
      </w:r>
      <w:r>
        <w:rPr>
          <w:sz w:val="29"/>
          <w:highlight w:val="none"/>
        </w:rPr>
        <w:t xml:space="preserve">заняты индустриальными (промышленными) парками, до 31 декабря 2028 года</w:t>
      </w:r>
      <w:r>
        <w:rPr>
          <w:sz w:val="29"/>
          <w:szCs w:val="28"/>
        </w:rPr>
        <w:t xml:space="preserve">.</w:t>
      </w:r>
      <w:r>
        <w:rPr>
          <w:sz w:val="29"/>
        </w:rPr>
      </w:r>
      <w:r>
        <w:rPr>
          <w:sz w:val="29"/>
        </w:rPr>
      </w:r>
    </w:p>
    <w:p>
      <w:pPr>
        <w:ind w:firstLine="0"/>
        <w:jc w:val="both"/>
        <w:spacing w:line="216" w:lineRule="auto"/>
        <w:rPr>
          <w:sz w:val="29"/>
          <w:szCs w:val="28"/>
        </w:rPr>
      </w:pPr>
      <w:r>
        <w:rPr>
          <w:sz w:val="29"/>
          <w:szCs w:val="28"/>
        </w:rPr>
      </w:r>
      <w:r>
        <w:rPr>
          <w:sz w:val="29"/>
          <w:szCs w:val="28"/>
        </w:rPr>
      </w:r>
    </w:p>
    <w:p>
      <w:pPr>
        <w:ind w:firstLine="0"/>
        <w:jc w:val="both"/>
        <w:spacing w:line="216" w:lineRule="auto"/>
        <w:rPr>
          <w:sz w:val="29"/>
          <w:szCs w:val="28"/>
        </w:rPr>
      </w:pPr>
      <w:r>
        <w:rPr>
          <w:sz w:val="29"/>
          <w:szCs w:val="28"/>
        </w:rPr>
      </w:r>
      <w:r>
        <w:rPr>
          <w:sz w:val="29"/>
          <w:szCs w:val="28"/>
        </w:rPr>
      </w:r>
    </w:p>
    <w:p>
      <w:pPr>
        <w:ind w:firstLine="0"/>
        <w:jc w:val="both"/>
        <w:spacing w:line="216" w:lineRule="auto"/>
        <w:rPr>
          <w:sz w:val="29"/>
          <w:szCs w:val="28"/>
        </w:rPr>
      </w:pPr>
      <w:r>
        <w:rPr>
          <w:sz w:val="29"/>
          <w:szCs w:val="28"/>
        </w:rPr>
      </w:r>
      <w:r>
        <w:rPr>
          <w:sz w:val="29"/>
          <w:szCs w:val="28"/>
        </w:rPr>
      </w:r>
      <w:r>
        <w:rPr>
          <w:sz w:val="29"/>
          <w:szCs w:val="28"/>
        </w:rPr>
      </w:r>
    </w:p>
    <w:p>
      <w:pPr>
        <w:jc w:val="both"/>
        <w:spacing w:line="240" w:lineRule="exact"/>
        <w:rPr>
          <w:sz w:val="29"/>
          <w:szCs w:val="28"/>
        </w:rPr>
      </w:pPr>
      <w:r>
        <w:rPr>
          <w:sz w:val="29"/>
          <w:szCs w:val="28"/>
        </w:rPr>
        <w:t xml:space="preserve">Р</w:t>
      </w:r>
      <w:r>
        <w:rPr>
          <w:sz w:val="29"/>
          <w:szCs w:val="28"/>
        </w:rPr>
        <w:t xml:space="preserve">уководител</w:t>
      </w:r>
      <w:r>
        <w:rPr>
          <w:sz w:val="29"/>
          <w:szCs w:val="28"/>
        </w:rPr>
        <w:t xml:space="preserve">ь </w:t>
      </w:r>
      <w:r>
        <w:rPr>
          <w:sz w:val="29"/>
          <w:szCs w:val="28"/>
        </w:rPr>
        <w:t xml:space="preserve">комитета</w:t>
      </w:r>
      <w:r>
        <w:rPr>
          <w:sz w:val="29"/>
        </w:rPr>
      </w:r>
      <w:r>
        <w:rPr>
          <w:sz w:val="29"/>
        </w:rPr>
      </w:r>
    </w:p>
    <w:p>
      <w:pPr>
        <w:jc w:val="both"/>
        <w:spacing w:line="240" w:lineRule="exact"/>
        <w:rPr>
          <w:sz w:val="29"/>
          <w:szCs w:val="28"/>
        </w:rPr>
      </w:pPr>
      <w:r>
        <w:rPr>
          <w:sz w:val="29"/>
          <w:szCs w:val="28"/>
        </w:rPr>
        <w:t xml:space="preserve">экономического развития и торговли</w:t>
      </w:r>
      <w:r>
        <w:rPr>
          <w:sz w:val="29"/>
        </w:rPr>
      </w:r>
      <w:r>
        <w:rPr>
          <w:sz w:val="29"/>
        </w:rPr>
      </w:r>
    </w:p>
    <w:p>
      <w:pPr>
        <w:jc w:val="both"/>
        <w:spacing w:line="240" w:lineRule="exact"/>
        <w:rPr>
          <w:sz w:val="29"/>
          <w:szCs w:val="28"/>
        </w:rPr>
      </w:pPr>
      <w:r>
        <w:rPr>
          <w:sz w:val="29"/>
          <w:szCs w:val="28"/>
        </w:rPr>
        <w:t xml:space="preserve">администрации </w:t>
      </w:r>
      <w:r>
        <w:rPr>
          <w:sz w:val="29"/>
          <w:szCs w:val="28"/>
        </w:rPr>
        <w:t xml:space="preserve">города Ставрополя</w:t>
      </w:r>
      <w:r>
        <w:rPr>
          <w:sz w:val="29"/>
          <w:szCs w:val="28"/>
        </w:rPr>
        <w:tab/>
      </w:r>
      <w:r>
        <w:rPr>
          <w:sz w:val="29"/>
          <w:szCs w:val="28"/>
        </w:rPr>
        <w:tab/>
      </w:r>
      <w:r>
        <w:rPr>
          <w:sz w:val="29"/>
          <w:szCs w:val="28"/>
        </w:rPr>
        <w:tab/>
      </w:r>
      <w:r>
        <w:rPr>
          <w:sz w:val="29"/>
          <w:szCs w:val="28"/>
        </w:rPr>
        <w:tab/>
        <w:t xml:space="preserve">     </w:t>
      </w:r>
      <w:r>
        <w:rPr>
          <w:sz w:val="29"/>
          <w:szCs w:val="28"/>
        </w:rPr>
        <w:t xml:space="preserve">Н.И. </w:t>
      </w:r>
      <w:r>
        <w:rPr>
          <w:sz w:val="29"/>
          <w:szCs w:val="28"/>
        </w:rPr>
        <w:t xml:space="preserve">Меценатова</w:t>
      </w:r>
      <w:r>
        <w:rPr>
          <w:sz w:val="29"/>
        </w:rPr>
      </w:r>
      <w:r>
        <w:rPr>
          <w:sz w:val="29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29"/>
          <w:szCs w:val="18"/>
          <w:highlight w:val="none"/>
        </w:rPr>
        <w:outlineLvl w:val="0"/>
      </w:pPr>
      <w:r>
        <w:rPr>
          <w:sz w:val="29"/>
          <w:szCs w:val="18"/>
          <w:highlight w:val="none"/>
        </w:rPr>
      </w:r>
      <w:r>
        <w:rPr>
          <w:sz w:val="29"/>
          <w:szCs w:val="18"/>
          <w:highlight w:val="none"/>
        </w:rPr>
      </w:r>
    </w:p>
    <w:p>
      <w:pPr>
        <w:spacing w:line="240" w:lineRule="exact"/>
        <w:rPr>
          <w:sz w:val="18"/>
          <w:szCs w:val="18"/>
        </w:rPr>
        <w:outlineLvl w:val="0"/>
      </w:pPr>
      <w:r>
        <w:rPr>
          <w:sz w:val="18"/>
          <w:szCs w:val="18"/>
        </w:rPr>
        <w:t xml:space="preserve">К.А. Карпенко, </w:t>
      </w:r>
      <w:r>
        <w:rPr>
          <w:sz w:val="18"/>
          <w:szCs w:val="18"/>
        </w:rPr>
      </w:r>
      <w:r>
        <w:rPr>
          <w:sz w:val="18"/>
          <w:szCs w:val="18"/>
          <w:highlight w:val="none"/>
        </w:rPr>
      </w:r>
    </w:p>
    <w:p>
      <w:pPr>
        <w:spacing w:line="240" w:lineRule="exact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</w:rPr>
        <w:t xml:space="preserve">74-</w:t>
      </w:r>
      <w:r>
        <w:rPr>
          <w:sz w:val="18"/>
          <w:szCs w:val="18"/>
        </w:rPr>
        <w:t xml:space="preserve">82-95</w:t>
      </w:r>
      <w:r>
        <w:rPr>
          <w:sz w:val="18"/>
        </w:rPr>
      </w:r>
      <w:r>
        <w:rPr>
          <w:sz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417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9584269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9"/>
            <w:szCs w:val="28"/>
          </w:rPr>
          <w:fldChar w:fldCharType="separate"/>
        </w:r>
        <w:r>
          <w:rPr>
            <w:sz w:val="29"/>
            <w:szCs w:val="28"/>
          </w:rPr>
          <w:t xml:space="preserve">3</w:t>
        </w:r>
        <w:r>
          <w:rPr>
            <w:sz w:val="29"/>
            <w:szCs w:val="28"/>
          </w:rPr>
          <w:fldChar w:fldCharType="end"/>
        </w:r>
        <w:r/>
      </w:p>
    </w:sdtContent>
  </w:sdt>
  <w:p>
    <w:pPr>
      <w:pStyle w:val="83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1"/>
    <w:next w:val="83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9">
    <w:name w:val="Heading 1 Char"/>
    <w:basedOn w:val="832"/>
    <w:link w:val="658"/>
    <w:uiPriority w:val="9"/>
    <w:rPr>
      <w:rFonts w:ascii="Arial" w:hAnsi="Arial" w:cs="Arial" w:eastAsia="Arial"/>
      <w:sz w:val="40"/>
      <w:szCs w:val="40"/>
    </w:rPr>
  </w:style>
  <w:style w:type="paragraph" w:styleId="660">
    <w:name w:val="Heading 2"/>
    <w:basedOn w:val="831"/>
    <w:next w:val="831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1">
    <w:name w:val="Heading 2 Char"/>
    <w:basedOn w:val="832"/>
    <w:link w:val="660"/>
    <w:uiPriority w:val="9"/>
    <w:rPr>
      <w:rFonts w:ascii="Arial" w:hAnsi="Arial" w:cs="Arial" w:eastAsia="Arial"/>
      <w:sz w:val="34"/>
    </w:rPr>
  </w:style>
  <w:style w:type="paragraph" w:styleId="662">
    <w:name w:val="Heading 3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3">
    <w:name w:val="Heading 3 Char"/>
    <w:basedOn w:val="832"/>
    <w:link w:val="662"/>
    <w:uiPriority w:val="9"/>
    <w:rPr>
      <w:rFonts w:ascii="Arial" w:hAnsi="Arial" w:cs="Arial" w:eastAsia="Arial"/>
      <w:sz w:val="30"/>
      <w:szCs w:val="30"/>
    </w:rPr>
  </w:style>
  <w:style w:type="paragraph" w:styleId="664">
    <w:name w:val="Heading 4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5">
    <w:name w:val="Heading 4 Char"/>
    <w:basedOn w:val="832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>
    <w:name w:val="Heading 5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7">
    <w:name w:val="Heading 5 Char"/>
    <w:basedOn w:val="832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9">
    <w:name w:val="Heading 6 Char"/>
    <w:basedOn w:val="832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>
    <w:name w:val="Heading 7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1">
    <w:name w:val="Heading 7 Char"/>
    <w:basedOn w:val="832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3">
    <w:name w:val="Heading 8 Char"/>
    <w:basedOn w:val="832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831"/>
    <w:next w:val="831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5">
    <w:name w:val="Heading 9 Char"/>
    <w:basedOn w:val="832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1"/>
    <w:next w:val="831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2"/>
    <w:link w:val="677"/>
    <w:uiPriority w:val="10"/>
    <w:rPr>
      <w:sz w:val="48"/>
      <w:szCs w:val="48"/>
    </w:rPr>
  </w:style>
  <w:style w:type="paragraph" w:styleId="679">
    <w:name w:val="Subtitle"/>
    <w:basedOn w:val="831"/>
    <w:next w:val="831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2"/>
    <w:link w:val="679"/>
    <w:uiPriority w:val="11"/>
    <w:rPr>
      <w:sz w:val="24"/>
      <w:szCs w:val="24"/>
    </w:rPr>
  </w:style>
  <w:style w:type="paragraph" w:styleId="681">
    <w:name w:val="Quote"/>
    <w:basedOn w:val="831"/>
    <w:next w:val="831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1"/>
    <w:next w:val="831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2"/>
    <w:link w:val="838"/>
    <w:uiPriority w:val="99"/>
  </w:style>
  <w:style w:type="character" w:styleId="686">
    <w:name w:val="Footer Char"/>
    <w:basedOn w:val="832"/>
    <w:link w:val="840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40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semiHidden/>
    <w:rPr>
      <w:rFonts w:ascii="Tahoma" w:hAnsi="Tahoma" w:cs="Tahoma"/>
      <w:sz w:val="16"/>
      <w:szCs w:val="16"/>
    </w:rPr>
  </w:style>
  <w:style w:type="table" w:styleId="836">
    <w:name w:val="Table Grid"/>
    <w:basedOn w:val="83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1"/>
    <w:uiPriority w:val="34"/>
    <w:qFormat/>
    <w:pPr>
      <w:contextualSpacing/>
      <w:ind w:left="720"/>
    </w:pPr>
  </w:style>
  <w:style w:type="paragraph" w:styleId="838">
    <w:name w:val="Header"/>
    <w:basedOn w:val="831"/>
    <w:link w:val="839"/>
    <w:uiPriority w:val="99"/>
    <w:pPr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2"/>
    <w:link w:val="838"/>
    <w:uiPriority w:val="99"/>
    <w:rPr>
      <w:sz w:val="24"/>
      <w:szCs w:val="24"/>
    </w:rPr>
  </w:style>
  <w:style w:type="paragraph" w:styleId="840">
    <w:name w:val="Footer"/>
    <w:basedOn w:val="831"/>
    <w:link w:val="841"/>
    <w:pPr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2"/>
    <w:link w:val="840"/>
    <w:rPr>
      <w:sz w:val="24"/>
      <w:szCs w:val="24"/>
    </w:rPr>
  </w:style>
  <w:style w:type="paragraph" w:styleId="842" w:customStyle="1">
    <w:name w:val="ConsPlusNormal"/>
    <w:rPr>
      <w:sz w:val="28"/>
      <w:szCs w:val="28"/>
    </w:rPr>
  </w:style>
  <w:style w:type="paragraph" w:styleId="843">
    <w:name w:val="Normal (Web)"/>
    <w:basedOn w:val="831"/>
    <w:uiPriority w:val="99"/>
    <w:unhideWhenUsed/>
    <w:pPr>
      <w:spacing w:before="100" w:beforeAutospacing="1" w:after="100" w:afterAutospacing="1"/>
    </w:pPr>
  </w:style>
  <w:style w:type="character" w:styleId="844">
    <w:name w:val="Hyperlink"/>
    <w:basedOn w:val="832"/>
    <w:uiPriority w:val="99"/>
    <w:unhideWhenUsed/>
    <w:rPr>
      <w:color w:val="0000FF"/>
      <w:u w:val="single"/>
    </w:rPr>
  </w:style>
  <w:style w:type="paragraph" w:styleId="84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91DB576-868E-4149-8DBD-CD69BEFE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StKosTP</dc:creator>
  <cp:revision>20</cp:revision>
  <dcterms:created xsi:type="dcterms:W3CDTF">2022-05-17T09:56:00Z</dcterms:created>
  <dcterms:modified xsi:type="dcterms:W3CDTF">2023-07-28T08:36:45Z</dcterms:modified>
</cp:coreProperties>
</file>