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4"/>
        <w:jc w:val="both"/>
        <w:spacing w:line="220" w:lineRule="exact"/>
      </w:pPr>
      <w:r>
        <w:rPr>
          <w:b w:val="0"/>
          <w:sz w:val="28"/>
          <w:szCs w:val="28"/>
          <w:highlight w:val="none"/>
        </w:rPr>
      </w:r>
      <w:r>
        <w:rPr>
          <w:b w:val="0"/>
          <w:sz w:val="28"/>
          <w:szCs w:val="28"/>
          <w:highlight w:val="none"/>
        </w:rPr>
      </w:r>
      <w:r/>
    </w:p>
    <w:p>
      <w:pPr>
        <w:pStyle w:val="864"/>
        <w:jc w:val="both"/>
        <w:spacing w:line="220" w:lineRule="exact"/>
        <w:rPr>
          <w:b w:val="0"/>
          <w:bCs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</w:r>
      <w:r>
        <w:rPr>
          <w:b w:val="0"/>
          <w:sz w:val="28"/>
          <w:szCs w:val="28"/>
          <w:highlight w:val="none"/>
        </w:rPr>
      </w:r>
      <w:r/>
    </w:p>
    <w:p>
      <w:pPr>
        <w:pStyle w:val="864"/>
        <w:jc w:val="both"/>
        <w:spacing w:line="220" w:lineRule="exact"/>
        <w:rPr>
          <w:b w:val="0"/>
          <w:bCs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</w:r>
      <w:r>
        <w:rPr>
          <w:b w:val="0"/>
          <w:sz w:val="28"/>
          <w:szCs w:val="28"/>
          <w:highlight w:val="none"/>
        </w:rPr>
      </w:r>
      <w:r/>
    </w:p>
    <w:p>
      <w:pPr>
        <w:pStyle w:val="864"/>
        <w:jc w:val="both"/>
        <w:spacing w:line="220" w:lineRule="exact"/>
        <w:rPr>
          <w:b w:val="0"/>
          <w:bCs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</w:r>
      <w:r>
        <w:rPr>
          <w:b w:val="0"/>
          <w:sz w:val="28"/>
          <w:szCs w:val="28"/>
          <w:highlight w:val="none"/>
        </w:rPr>
      </w:r>
      <w:r/>
    </w:p>
    <w:p>
      <w:pPr>
        <w:pStyle w:val="864"/>
        <w:jc w:val="both"/>
        <w:spacing w:line="220" w:lineRule="exact"/>
        <w:rPr>
          <w:b w:val="0"/>
          <w:bCs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</w:r>
      <w:r>
        <w:rPr>
          <w:b w:val="0"/>
          <w:sz w:val="28"/>
          <w:szCs w:val="28"/>
          <w:highlight w:val="none"/>
        </w:rPr>
      </w:r>
      <w:r/>
    </w:p>
    <w:p>
      <w:pPr>
        <w:pStyle w:val="864"/>
        <w:jc w:val="both"/>
        <w:spacing w:line="220" w:lineRule="exact"/>
        <w:rPr>
          <w:b w:val="0"/>
          <w:bCs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</w:r>
      <w:r>
        <w:rPr>
          <w:b w:val="0"/>
          <w:sz w:val="28"/>
          <w:szCs w:val="28"/>
          <w:highlight w:val="none"/>
        </w:rPr>
      </w:r>
      <w:r/>
    </w:p>
    <w:p>
      <w:pPr>
        <w:pStyle w:val="864"/>
        <w:jc w:val="both"/>
        <w:spacing w:line="220" w:lineRule="exact"/>
        <w:rPr>
          <w:b w:val="0"/>
          <w:bCs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</w:r>
      <w:r>
        <w:rPr>
          <w:b w:val="0"/>
          <w:sz w:val="28"/>
          <w:szCs w:val="28"/>
          <w:highlight w:val="none"/>
        </w:rPr>
      </w:r>
      <w:r/>
    </w:p>
    <w:p>
      <w:pPr>
        <w:pStyle w:val="864"/>
        <w:jc w:val="both"/>
        <w:spacing w:line="220" w:lineRule="exact"/>
        <w:rPr>
          <w:b w:val="0"/>
          <w:bCs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</w:r>
      <w:r>
        <w:rPr>
          <w:b w:val="0"/>
          <w:sz w:val="28"/>
          <w:szCs w:val="28"/>
          <w:highlight w:val="none"/>
        </w:rPr>
      </w:r>
      <w:r/>
    </w:p>
    <w:p>
      <w:pPr>
        <w:pStyle w:val="864"/>
        <w:jc w:val="both"/>
        <w:spacing w:line="220" w:lineRule="exact"/>
        <w:rPr>
          <w:b w:val="0"/>
          <w:bCs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</w:r>
      <w:r>
        <w:rPr>
          <w:b w:val="0"/>
          <w:sz w:val="28"/>
          <w:szCs w:val="28"/>
          <w:highlight w:val="none"/>
        </w:rPr>
      </w:r>
      <w:r/>
    </w:p>
    <w:p>
      <w:pPr>
        <w:pStyle w:val="864"/>
        <w:jc w:val="both"/>
        <w:spacing w:line="220" w:lineRule="exact"/>
        <w:rPr>
          <w:b w:val="0"/>
          <w:bCs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</w:r>
      <w:r>
        <w:rPr>
          <w:b w:val="0"/>
          <w:sz w:val="28"/>
          <w:szCs w:val="28"/>
          <w:highlight w:val="none"/>
        </w:rPr>
      </w:r>
      <w:r/>
    </w:p>
    <w:p>
      <w:pPr>
        <w:pStyle w:val="864"/>
        <w:jc w:val="both"/>
        <w:spacing w:line="220" w:lineRule="exact"/>
        <w:rPr>
          <w:b w:val="0"/>
          <w:bCs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</w:r>
      <w:r>
        <w:rPr>
          <w:b w:val="0"/>
          <w:sz w:val="28"/>
          <w:szCs w:val="28"/>
          <w:highlight w:val="none"/>
        </w:rPr>
      </w:r>
      <w:r/>
    </w:p>
    <w:p>
      <w:pPr>
        <w:pStyle w:val="864"/>
        <w:jc w:val="both"/>
        <w:spacing w:line="220" w:lineRule="exact"/>
        <w:rPr>
          <w:b w:val="0"/>
          <w:bCs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</w:r>
      <w:r>
        <w:rPr>
          <w:b w:val="0"/>
          <w:sz w:val="28"/>
          <w:szCs w:val="28"/>
          <w:highlight w:val="none"/>
        </w:rPr>
      </w:r>
      <w:r/>
    </w:p>
    <w:p>
      <w:pPr>
        <w:pStyle w:val="864"/>
        <w:jc w:val="both"/>
        <w:spacing w:line="220" w:lineRule="exact"/>
        <w:rPr>
          <w:b w:val="0"/>
          <w:bCs w:val="0"/>
          <w:sz w:val="28"/>
          <w:szCs w:val="28"/>
          <w:highlight w:val="none"/>
        </w:rPr>
      </w:pPr>
      <w:r>
        <w:rPr>
          <w:b w:val="0"/>
          <w:sz w:val="28"/>
          <w:szCs w:val="28"/>
          <w:highlight w:val="none"/>
        </w:rPr>
      </w:r>
      <w:r>
        <w:rPr>
          <w:b w:val="0"/>
          <w:sz w:val="28"/>
          <w:szCs w:val="28"/>
          <w:highlight w:val="none"/>
        </w:rPr>
      </w:r>
      <w:r/>
    </w:p>
    <w:p>
      <w:pPr>
        <w:pStyle w:val="864"/>
        <w:jc w:val="both"/>
        <w:spacing w:line="220" w:lineRule="exact"/>
        <w:rPr>
          <w:b w:val="0"/>
          <w:bCs w:val="0"/>
          <w:sz w:val="28"/>
          <w:szCs w:val="28"/>
          <w:highlight w:val="none"/>
        </w:rPr>
      </w:pPr>
      <w:r>
        <w:rPr>
          <w:b w:val="0"/>
          <w:sz w:val="28"/>
          <w:szCs w:val="28"/>
        </w:rPr>
        <w:t xml:space="preserve">О внесении изменений в </w:t>
      </w:r>
      <w:r>
        <w:rPr>
          <w:b w:val="0"/>
          <w:sz w:val="28"/>
          <w:szCs w:val="28"/>
        </w:rPr>
        <w:t xml:space="preserve">Положени</w:t>
      </w:r>
      <w:r>
        <w:rPr>
          <w:b w:val="0"/>
          <w:sz w:val="28"/>
          <w:szCs w:val="28"/>
        </w:rPr>
        <w:t xml:space="preserve">е</w:t>
      </w:r>
      <w:r>
        <w:rPr>
          <w:b w:val="0"/>
        </w:rPr>
        <w:t xml:space="preserve"> </w:t>
      </w:r>
      <w:r>
        <w:rPr>
          <w:b w:val="0"/>
          <w:sz w:val="28"/>
          <w:szCs w:val="28"/>
        </w:rPr>
        <w:t xml:space="preserve">об оплате труда работников муниципального казенного учреждения «Хозяйственное управление администрации города Ставрополя»</w:t>
      </w:r>
      <w:r>
        <w:rPr>
          <w:b w:val="0"/>
          <w:sz w:val="28"/>
          <w:szCs w:val="28"/>
        </w:rPr>
        <w:t xml:space="preserve">, утвержденное  </w:t>
      </w:r>
      <w:r>
        <w:rPr>
          <w:b w:val="0"/>
          <w:sz w:val="28"/>
          <w:szCs w:val="28"/>
        </w:rPr>
        <w:t xml:space="preserve">постановление</w:t>
      </w:r>
      <w:r>
        <w:rPr>
          <w:b w:val="0"/>
          <w:sz w:val="28"/>
          <w:szCs w:val="28"/>
        </w:rPr>
        <w:t xml:space="preserve">м</w:t>
      </w:r>
      <w:r>
        <w:rPr>
          <w:b w:val="0"/>
          <w:sz w:val="28"/>
          <w:szCs w:val="28"/>
        </w:rPr>
        <w:t xml:space="preserve"> администрации города Ставрополя от 23.12.2022 № 2817 </w:t>
      </w:r>
      <w:r/>
    </w:p>
    <w:p>
      <w:pPr>
        <w:pStyle w:val="864"/>
        <w:jc w:val="both"/>
        <w:spacing w:line="220" w:lineRule="exact"/>
      </w:pPr>
      <w:r>
        <w:rPr>
          <w:b w:val="0"/>
          <w:sz w:val="28"/>
          <w:szCs w:val="28"/>
        </w:rPr>
      </w:r>
      <w:r/>
    </w:p>
    <w:p>
      <w:pPr>
        <w:pStyle w:val="865"/>
        <w:jc w:val="both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Трудовым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</w:t>
      </w:r>
      <w:r>
        <w:rPr>
          <w:rFonts w:ascii="Times New Roman" w:hAnsi="Times New Roman" w:cs="Times New Roman"/>
          <w:sz w:val="28"/>
          <w:szCs w:val="28"/>
        </w:rPr>
        <w:t xml:space="preserve"> 04.06.2019 № 1561 «Об утверждении Положения о системах оплаты труда работников муниципальных учреждений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z w:val="28"/>
          <w:szCs w:val="28"/>
        </w:rPr>
        <w:t xml:space="preserve"> 31.07.2023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1659 </w:t>
      </w:r>
      <w:r>
        <w:rPr>
          <w:rFonts w:ascii="Times New Roman" w:hAnsi="Times New Roman" w:cs="Times New Roman"/>
          <w:sz w:val="28"/>
          <w:szCs w:val="28"/>
        </w:rPr>
        <w:t xml:space="preserve">       «О мерах по увеличению оплаты труда работников муниципальных учреждений города Ставрополя» </w:t>
      </w:r>
      <w:r/>
    </w:p>
    <w:p>
      <w:pPr>
        <w:pStyle w:val="865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6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ПОСТАНОВЛЯЮ:</w:t>
      </w:r>
      <w:r/>
    </w:p>
    <w:p>
      <w:pPr>
        <w:pStyle w:val="865"/>
        <w:jc w:val="both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Положени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муниципального казенного учреждения «Хозяйственное управление администрации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23.12.2022 № 2817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муниципального казенного учреждения «Хозяйственное управление администрации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пункт 1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«1.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об оплате труда работников муниципального казенного учреждения «Хозяйственное    управление    администрации города Ставрополя» (далее - Положение) разработ</w:t>
      </w:r>
      <w:r>
        <w:rPr>
          <w:rFonts w:ascii="Times New Roman" w:hAnsi="Times New Roman" w:cs="Times New Roman"/>
          <w:sz w:val="28"/>
          <w:szCs w:val="28"/>
        </w:rPr>
        <w:t xml:space="preserve">ано  в  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Трудовым  кодексом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</w:t>
      </w:r>
      <w:r>
        <w:rPr>
          <w:rFonts w:ascii="Times New Roman" w:hAnsi="Times New Roman" w:cs="Times New Roman"/>
          <w:sz w:val="28"/>
          <w:szCs w:val="28"/>
        </w:rPr>
        <w:t xml:space="preserve">аврополя </w:t>
      </w:r>
      <w:r>
        <w:rPr>
          <w:rFonts w:ascii="Times New Roman" w:hAnsi="Times New Roman" w:cs="Times New Roman"/>
          <w:sz w:val="28"/>
          <w:szCs w:val="28"/>
        </w:rPr>
        <w:t xml:space="preserve">от 04.06.2019 № 1561 «Об утверждении Положения о системах оплаты труда работников муниципальных учреждений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устанавливает условия оплаты труда работников муниципального казенного учреждения «Хозяйственное управление администрации города Ставрополя» (далее - Учреждение), финансируемого за счет средств бюджета города Ставрополя.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пункт  5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5. Д</w:t>
      </w:r>
      <w:r>
        <w:rPr>
          <w:rFonts w:ascii="Times New Roman" w:hAnsi="Times New Roman" w:cs="Times New Roman"/>
          <w:sz w:val="28"/>
          <w:szCs w:val="28"/>
        </w:rPr>
        <w:t xml:space="preserve">олжностные    оклады   работников Учреждения устанавливаются в соответствии с </w:t>
      </w:r>
      <w:hyperlink w:tooltip="#P36" w:anchor="P36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 настоящего Положения руководителем Учреждения на основе требований к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а также с учетом сложности и объема выполняемой работы в размерах, не превышающих рекомендуемые </w:t>
      </w:r>
      <w:r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оклады работников Учреждения по профессиональным квалификационным группам общеотраслевых должностей руководителей,  специалистов и служащих устанавливаются в следующих размерах:</w:t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4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4"/>
        <w:gridCol w:w="2415"/>
        <w:gridCol w:w="2977"/>
        <w:gridCol w:w="3402"/>
      </w:tblGrid>
      <w:tr>
        <w:trPr>
          <w:trHeight w:val="866"/>
        </w:trPr>
        <w:tc>
          <w:tcPr>
            <w:tcW w:w="624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15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Должностной оклад,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782"/>
        </w:trPr>
        <w:tc>
          <w:tcPr>
            <w:gridSpan w:val="4"/>
            <w:tcW w:w="9418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должности служащих первого уровня»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24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15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850"/>
        </w:trPr>
        <w:tc>
          <w:tcPr>
            <w:gridSpan w:val="4"/>
            <w:tcW w:w="9418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должности служащих второго уровня»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24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15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24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15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9418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«Общеотраслевые должности служащих третьего уровня»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24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15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I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24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15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 ведущий юрисконсульт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contextualSpacing/>
        <w:ind w:firstLine="709"/>
        <w:jc w:val="both"/>
        <w:rPr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работников Учреждения, осуществляющих профессиональную деятельность по профессиям рабочих, устанавливаются в следующих размерах: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t xml:space="preserve">                                                                                           </w:t>
      </w:r>
      <w:r>
        <w:rPr>
          <w14:ligatures w14:val="none"/>
        </w:rPr>
      </w:r>
      <w:r/>
    </w:p>
    <w:tbl>
      <w:tblPr>
        <w:tblW w:w="94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4"/>
        <w:gridCol w:w="2415"/>
        <w:gridCol w:w="2268"/>
        <w:gridCol w:w="2552"/>
        <w:gridCol w:w="1559"/>
      </w:tblGrid>
      <w:tr>
        <w:trPr/>
        <w:tc>
          <w:tcPr>
            <w:tcW w:w="624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15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разряд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W w:w="9418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профессии рабочих первого уровня»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24" w:type="dxa"/>
            <w:vMerge w:val="restart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15" w:type="dxa"/>
            <w:vMerge w:val="restart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24" w:type="dxa"/>
            <w:vMerge w:val="continue"/>
            <w:textDirection w:val="lrTb"/>
            <w:noWrap/>
          </w:tcPr>
          <w:p>
            <w:pPr>
              <w:pStyle w:val="8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15" w:type="dxa"/>
            <w:vMerge w:val="continue"/>
            <w:textDirection w:val="lrTb"/>
            <w:noWrap/>
          </w:tcPr>
          <w:p>
            <w:pPr>
              <w:pStyle w:val="866"/>
              <w:tabs>
                <w:tab w:val="left" w:pos="1395" w:leader="none"/>
              </w:tabs>
            </w:pPr>
            <w:r/>
            <w:r/>
          </w:p>
        </w:tc>
        <w:tc>
          <w:tcPr>
            <w:tcW w:w="2268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W w:w="9418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профессии рабочих второго уровня»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24" w:type="dxa"/>
            <w:vMerge w:val="restart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15" w:type="dxa"/>
            <w:vMerge w:val="restart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слесарь-сантехник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24" w:type="dxa"/>
            <w:vMerge w:val="continue"/>
            <w:textDirection w:val="lrTb"/>
            <w:noWrap/>
          </w:tcPr>
          <w:p>
            <w:pPr>
              <w:pStyle w:val="8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15" w:type="dxa"/>
            <w:vMerge w:val="continue"/>
            <w:textDirection w:val="lrTb"/>
            <w:noWrap/>
          </w:tcPr>
          <w:p>
            <w:pPr>
              <w:pStyle w:val="866"/>
            </w:pPr>
            <w:r/>
            <w:r/>
          </w:p>
        </w:tc>
        <w:tc>
          <w:tcPr>
            <w:tcW w:w="2268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 xml:space="preserve">оклады работн</w:t>
      </w:r>
      <w:r>
        <w:rPr>
          <w:rFonts w:ascii="Times New Roman" w:hAnsi="Times New Roman" w:cs="Times New Roman"/>
          <w:sz w:val="28"/>
          <w:szCs w:val="28"/>
        </w:rPr>
        <w:t xml:space="preserve">иков по должностям (профессиям)</w:t>
      </w:r>
      <w:r>
        <w:rPr>
          <w:rFonts w:ascii="Times New Roman" w:hAnsi="Times New Roman" w:cs="Times New Roman"/>
          <w:sz w:val="28"/>
          <w:szCs w:val="28"/>
        </w:rPr>
        <w:t xml:space="preserve">, не включенным в профессиональные квалификационные группы,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в следующих размерах:</w:t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4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4"/>
        <w:gridCol w:w="2415"/>
        <w:gridCol w:w="2977"/>
        <w:gridCol w:w="3402"/>
      </w:tblGrid>
      <w:tr>
        <w:trPr>
          <w:trHeight w:val="866"/>
        </w:trPr>
        <w:tc>
          <w:tcPr>
            <w:tcW w:w="624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415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402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Должностной оклад,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36"/>
        </w:trPr>
        <w:tc>
          <w:tcPr>
            <w:gridSpan w:val="4"/>
            <w:tcW w:w="9418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не включенные в профессиональные квалификационные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4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5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/>
          </w:tcPr>
          <w:p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Размеры должностных окладов, выплат компенсационного и стимулирующего характера устанавливаются в пределах фонда оплаты труда (средств на оплату труда), предусмотренных в смете и лимитах Учреждения за счет соответствующих источников финансирования.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) пункт 7  изложить в следующей редакции:</w:t>
      </w:r>
      <w:r>
        <w:rPr>
          <w:rFonts w:ascii="Times New Roman" w:hAnsi="Times New Roman" w:cs="Times New Roman"/>
          <w:sz w:val="28"/>
          <w:szCs w:val="28"/>
          <w14:ligatures w14:val="none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«7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устанавливаются в соответствии с настоящим Положением, коллективным договором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надбавок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доплат к должностным окладам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) пункт 8 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8. Работникам    Учреждения  устанавливаются 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 выплаты компенсационного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 работу с вредными и (или) опасными условиями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Работникам Учреждения, занятым на работах с вредными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опасными условиями труда, устанавливается повышенная оплата труда. Размер повышения оплаты труда составляет 4 процента тарифной ставки (должностного оклада), установленной для различных видов работ с нормальными условиями труда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 работу в условиях, отклоняющихся от нормальных: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) при совмещении профессий (должностей), расширении зон обслуживания, увеличении</w:t>
      </w:r>
      <w:r>
        <w:rPr>
          <w:rFonts w:ascii="Times New Roman" w:hAnsi="Times New Roman" w:cs="Times New Roman"/>
          <w:sz w:val="28"/>
          <w:szCs w:val="28"/>
        </w:rPr>
        <w:t xml:space="preserve"> объема работы при исполнении обязанностей временно отсутствующего работника  Учреждения без освобождения от работы, определенной трудовым договором, работникам Учреждения производится доплат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. Размер доплаты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 со</w:t>
      </w:r>
      <w:r>
        <w:rPr>
          <w:rFonts w:ascii="Times New Roman" w:hAnsi="Times New Roman" w:cs="Times New Roman"/>
          <w:sz w:val="28"/>
          <w:szCs w:val="28"/>
        </w:rPr>
        <w:t xml:space="preserve">глашению</w:t>
      </w:r>
      <w:r>
        <w:rPr>
          <w:rFonts w:ascii="Times New Roman" w:hAnsi="Times New Roman" w:cs="Times New Roman"/>
          <w:sz w:val="28"/>
          <w:szCs w:val="28"/>
        </w:rPr>
        <w:t xml:space="preserve"> сторон трудового договора  с учетом содержания и (или) объема дополнительной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) за сверхурочную работу оплата производится за первые два часа работы в полуторном размере, за последующие часы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 двойном размере. По желанию работника  Учреждения сверхурочная работа вместо повышенной </w:t>
      </w:r>
      <w:r>
        <w:rPr>
          <w:rFonts w:ascii="Times New Roman" w:hAnsi="Times New Roman" w:cs="Times New Roman"/>
          <w:sz w:val="28"/>
          <w:szCs w:val="28"/>
        </w:rPr>
        <w:t xml:space="preserve">оплаты может компенсироваться предоставлением дополнительного времени отдыха, но не менее времени, отработанного сверхурочно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  <w14:ligatures w14:val="none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) за работу в выходные и нерабочие праздничные дни: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если работа в выходной или нерабочий праздничный день производилась в пределах месячной нормы раб</w:t>
      </w:r>
      <w:r>
        <w:rPr>
          <w:rFonts w:ascii="Times New Roman" w:hAnsi="Times New Roman" w:cs="Times New Roman"/>
          <w:sz w:val="28"/>
          <w:szCs w:val="28"/>
        </w:rPr>
        <w:t xml:space="preserve">очего времени – в размере одинарной дневной или часовой ставки (части должностного оклада, других доплат за труд и стимулирующих надбавок, установленных кр</w:t>
      </w:r>
      <w:r>
        <w:rPr>
          <w:rFonts w:ascii="Times New Roman" w:hAnsi="Times New Roman" w:cs="Times New Roman"/>
          <w:sz w:val="28"/>
          <w:szCs w:val="28"/>
        </w:rPr>
        <w:t xml:space="preserve">атно окладу или в фиксированных суммах за день или час работы) сверх должностного оклада;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если работа производилась сверх месячной нормы рабочего времени – в размере двойной дневной или часовой ставки (части должностного оклада за день или час работы) сверх должностного оклада.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По желани</w:t>
      </w:r>
      <w:r>
        <w:rPr>
          <w:rFonts w:ascii="Times New Roman" w:hAnsi="Times New Roman" w:cs="Times New Roman"/>
          <w:sz w:val="28"/>
          <w:szCs w:val="28"/>
        </w:rPr>
        <w:t xml:space="preserve">ю работника Учреждения,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  <w14:ligatures w14:val="none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 работу со сведениями, составляющ</w:t>
      </w:r>
      <w:r>
        <w:rPr>
          <w:rFonts w:ascii="Times New Roman" w:hAnsi="Times New Roman" w:cs="Times New Roman"/>
          <w:sz w:val="28"/>
          <w:szCs w:val="28"/>
        </w:rPr>
        <w:t xml:space="preserve">ими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тайну.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Ежемесячная процентная надбавка за работу со сведениями, составляющ</w:t>
      </w:r>
      <w:r>
        <w:rPr>
          <w:rFonts w:ascii="Times New Roman" w:hAnsi="Times New Roman" w:cs="Times New Roman"/>
          <w:sz w:val="28"/>
          <w:szCs w:val="28"/>
        </w:rPr>
        <w:t xml:space="preserve">ими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тайну, устанавливается работникам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      18 сентября 2006 г.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573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Работникам, замещающ</w:t>
      </w:r>
      <w:r>
        <w:rPr>
          <w:rFonts w:ascii="Times New Roman" w:hAnsi="Times New Roman" w:cs="Times New Roman"/>
          <w:sz w:val="28"/>
          <w:szCs w:val="28"/>
        </w:rPr>
        <w:t xml:space="preserve">им</w:t>
      </w:r>
      <w:r>
        <w:rPr>
          <w:rFonts w:ascii="Times New Roman" w:hAnsi="Times New Roman" w:cs="Times New Roman"/>
          <w:sz w:val="28"/>
          <w:szCs w:val="28"/>
        </w:rPr>
        <w:t xml:space="preserve"> штатную должность с неполным рабочим днем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компенс</w:t>
      </w:r>
      <w:r>
        <w:rPr>
          <w:rFonts w:ascii="Times New Roman" w:hAnsi="Times New Roman" w:cs="Times New Roman"/>
          <w:sz w:val="28"/>
          <w:szCs w:val="28"/>
        </w:rPr>
        <w:t xml:space="preserve">ационные </w:t>
      </w:r>
      <w:r>
        <w:rPr>
          <w:rFonts w:ascii="Times New Roman" w:hAnsi="Times New Roman" w:cs="Times New Roman"/>
          <w:sz w:val="28"/>
          <w:szCs w:val="28"/>
        </w:rPr>
        <w:t xml:space="preserve">выплаты устанавлива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тся пропорционально отработанно</w:t>
      </w:r>
      <w:r>
        <w:rPr>
          <w:rFonts w:ascii="Times New Roman" w:hAnsi="Times New Roman" w:cs="Times New Roman"/>
          <w:sz w:val="28"/>
          <w:szCs w:val="28"/>
        </w:rPr>
        <w:t xml:space="preserve">му</w:t>
      </w:r>
      <w:r>
        <w:rPr>
          <w:rFonts w:ascii="Times New Roman" w:hAnsi="Times New Roman" w:cs="Times New Roman"/>
          <w:sz w:val="28"/>
          <w:szCs w:val="28"/>
        </w:rPr>
        <w:t xml:space="preserve"> времени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Для исчи</w:t>
      </w:r>
      <w:r>
        <w:rPr>
          <w:rFonts w:ascii="Times New Roman" w:hAnsi="Times New Roman" w:cs="Times New Roman"/>
          <w:sz w:val="28"/>
          <w:szCs w:val="28"/>
        </w:rPr>
        <w:t xml:space="preserve">сления компенсационных выплат применяется часовая тарифная ставка, размер которой определяется путем деления должностного оклада на среднемесячное количество рабочих часов в году в зависимости от установленной в Учреждении продолжительности рабочей недели.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) пункт 11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«11. Выплата за интенсивность и высокие результаты работы устанавливается приказом руководителя Учреждения в размере до                      375 процентов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оклада.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Выплата за интенсивность и высокие результаты работы производится с учетом следующих критериев: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выполнение непредвиденных работ;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оперативность в принятии решений;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оперативность в исполнении порученной работы;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сложность и напряженность труда.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Условия и порядок выплаты за интенсивность и высокие результаты работы определяется коллективным  договором Учреждения.»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ункт 13 дополнить абзац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м седьмым след</w:t>
      </w:r>
      <w:r>
        <w:rPr>
          <w:rFonts w:ascii="Times New Roman" w:hAnsi="Times New Roman" w:cs="Times New Roman"/>
          <w:sz w:val="28"/>
          <w:szCs w:val="28"/>
        </w:rPr>
        <w:t xml:space="preserve">ующего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Перечень периодов работы для исчисления стажа работы, дающего право работнику Учреждения на получение надбавки за стаж непрерывной работы, выслугу лет, предусматрива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тся  </w:t>
      </w:r>
      <w:r>
        <w:rPr>
          <w:rFonts w:ascii="Times New Roman" w:hAnsi="Times New Roman" w:cs="Times New Roman"/>
          <w:sz w:val="28"/>
          <w:szCs w:val="28"/>
        </w:rPr>
        <w:t xml:space="preserve">кол</w:t>
      </w:r>
      <w:r>
        <w:rPr>
          <w:rFonts w:ascii="Times New Roman" w:hAnsi="Times New Roman" w:cs="Times New Roman"/>
          <w:sz w:val="28"/>
          <w:szCs w:val="28"/>
        </w:rPr>
        <w:t xml:space="preserve">лективным </w:t>
      </w:r>
      <w:r>
        <w:rPr>
          <w:rFonts w:ascii="Times New Roman" w:hAnsi="Times New Roman" w:cs="Times New Roman"/>
          <w:sz w:val="28"/>
          <w:szCs w:val="28"/>
        </w:rPr>
        <w:t xml:space="preserve">  договор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.»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) дополнить пунктом </w:t>
      </w:r>
      <w:r>
        <w:rPr>
          <w:rFonts w:ascii="Times New Roman" w:hAnsi="Times New Roman" w:cs="Times New Roman"/>
          <w:sz w:val="28"/>
          <w:szCs w:val="28"/>
        </w:rPr>
        <w:t xml:space="preserve">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В пределах</w:t>
      </w:r>
      <w:r>
        <w:rPr>
          <w:rFonts w:ascii="Times New Roman" w:hAnsi="Times New Roman" w:cs="Times New Roman"/>
          <w:sz w:val="28"/>
          <w:szCs w:val="28"/>
        </w:rPr>
        <w:t xml:space="preserve"> экономии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работникам Учреждения может выплачиваться  материальная помощь в случаях и размерах, установленных коллективным договором Учреждения</w:t>
      </w:r>
      <w:r>
        <w:rPr>
          <w:rFonts w:ascii="Times New Roman" w:hAnsi="Times New Roman" w:cs="Times New Roman"/>
          <w:sz w:val="28"/>
          <w:szCs w:val="28"/>
        </w:rPr>
        <w:t xml:space="preserve">.»;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) пункт 20 изложить  в следующей редакции: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Предельная</w:t>
      </w:r>
      <w:r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 работников административно-управленческого персонала в фонде оплаты труда Учреждения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   39,9 процент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К основному персоналу Учреждения относятся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водитель автомобиля,  гардеробщик,  заведующий хозяйством,  слесарь-сантехник, техник, уборщик служебных помещений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административно-управленческому персоналу Учреждения относятся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директор,  заместитель директора по техническому обеспечению, главный бухгалтер, ведущий бухгалтер, бухгалтер 1 категории, ведущий юрисконсульт, инспектор по кадрам, делопроизводитель.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дня 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подпункта 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пункта 1 настоящего 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 который </w:t>
      </w:r>
      <w:r>
        <w:rPr>
          <w:rFonts w:ascii="Times New Roman" w:hAnsi="Times New Roman" w:cs="Times New Roman"/>
          <w:sz w:val="28"/>
          <w:szCs w:val="28"/>
        </w:rPr>
        <w:t xml:space="preserve">вступа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т в силу с 01 октября 2023 года.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  <w14:ligatures w14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     </w:t>
      </w:r>
      <w:r>
        <w:rPr>
          <w:rFonts w:ascii="Times New Roman" w:hAnsi="Times New Roman" w:cs="Times New Roman"/>
          <w:sz w:val="28"/>
          <w:szCs w:val="28"/>
        </w:rPr>
        <w:t xml:space="preserve">Гр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бенника А.Д.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65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65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284"/>
        <w:gridCol w:w="4393"/>
        <w:gridCol w:w="993"/>
        <w:gridCol w:w="1134"/>
        <w:gridCol w:w="2410"/>
      </w:tblGrid>
      <w:tr>
        <w:trPr>
          <w:trHeight w:val="656"/>
        </w:trPr>
        <w:tc>
          <w:tcPr>
            <w:gridSpan w:val="2"/>
            <w:shd w:val="clear" w:color="ffffff" w:fill="ffffff"/>
            <w:tcW w:w="4677" w:type="dxa"/>
            <w:vAlign w:val="bottom"/>
            <w:textDirection w:val="lrTb"/>
            <w:noWrap w:val="false"/>
          </w:tcPr>
          <w:p>
            <w:pPr>
              <w:ind w:left="-108" w:right="-244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города Ставрополя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W w:w="2127" w:type="dxa"/>
            <w:textDirection w:val="lrTb"/>
            <w:noWrap w:val="false"/>
          </w:tcPr>
          <w:p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ffffff" w:fill="ffffff"/>
            <w:tcW w:w="2410" w:type="dxa"/>
            <w:vAlign w:val="bottom"/>
            <w:textDirection w:val="lrTb"/>
            <w:noWrap w:val="false"/>
          </w:tcPr>
          <w:p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 И.И. Ульянченко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65"/>
        <w:ind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r/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98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jc w:val="center"/>
    </w:pPr>
    <w:fldSimple w:instr="PAGE \* MERGEFORMAT">
      <w:r>
        <w:rPr>
          <w:rFonts w:ascii="Times New Roman" w:hAnsi="Times New Roman" w:cs="Times New Roman"/>
          <w:sz w:val="28"/>
          <w:szCs w:val="28"/>
        </w:rPr>
        <w:t xml:space="preserve">1</w:t>
      </w:r>
    </w:fldSimple>
    <w:r>
      <w:rPr>
        <w:rFonts w:ascii="Times New Roman" w:hAnsi="Times New Roman" w:cs="Times New Roman"/>
        <w:sz w:val="28"/>
        <w:szCs w:val="28"/>
      </w:rPr>
    </w:r>
    <w:r>
      <w:rPr>
        <w:rFonts w:ascii="Times New Roman" w:hAnsi="Times New Roman" w:cs="Times New Roman"/>
        <w:sz w:val="28"/>
        <w:szCs w:val="28"/>
      </w:rPr>
    </w:r>
    <w:r/>
  </w:p>
  <w:p>
    <w:pPr>
      <w:pStyle w:val="70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58"/>
    <w:next w:val="858"/>
    <w:link w:val="68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3">
    <w:name w:val="Heading 1 Char"/>
    <w:link w:val="682"/>
    <w:uiPriority w:val="9"/>
    <w:rPr>
      <w:rFonts w:ascii="Arial" w:hAnsi="Arial" w:eastAsia="Arial" w:cs="Arial"/>
      <w:sz w:val="40"/>
      <w:szCs w:val="40"/>
    </w:rPr>
  </w:style>
  <w:style w:type="paragraph" w:styleId="684">
    <w:name w:val="Heading 2"/>
    <w:basedOn w:val="858"/>
    <w:next w:val="858"/>
    <w:link w:val="68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5">
    <w:name w:val="Heading 2 Char"/>
    <w:link w:val="684"/>
    <w:uiPriority w:val="9"/>
    <w:rPr>
      <w:rFonts w:ascii="Arial" w:hAnsi="Arial" w:eastAsia="Arial" w:cs="Arial"/>
      <w:sz w:val="34"/>
    </w:rPr>
  </w:style>
  <w:style w:type="paragraph" w:styleId="686">
    <w:name w:val="Heading 3"/>
    <w:basedOn w:val="858"/>
    <w:next w:val="858"/>
    <w:link w:val="6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7">
    <w:name w:val="Heading 3 Char"/>
    <w:link w:val="686"/>
    <w:uiPriority w:val="9"/>
    <w:rPr>
      <w:rFonts w:ascii="Arial" w:hAnsi="Arial" w:eastAsia="Arial" w:cs="Arial"/>
      <w:sz w:val="30"/>
      <w:szCs w:val="30"/>
    </w:rPr>
  </w:style>
  <w:style w:type="paragraph" w:styleId="688">
    <w:name w:val="Heading 4"/>
    <w:basedOn w:val="858"/>
    <w:next w:val="858"/>
    <w:link w:val="68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9">
    <w:name w:val="Heading 4 Char"/>
    <w:link w:val="688"/>
    <w:uiPriority w:val="9"/>
    <w:rPr>
      <w:rFonts w:ascii="Arial" w:hAnsi="Arial" w:eastAsia="Arial" w:cs="Arial"/>
      <w:b/>
      <w:bCs/>
      <w:sz w:val="26"/>
      <w:szCs w:val="26"/>
    </w:rPr>
  </w:style>
  <w:style w:type="paragraph" w:styleId="690">
    <w:name w:val="Heading 5"/>
    <w:basedOn w:val="858"/>
    <w:next w:val="858"/>
    <w:link w:val="69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1">
    <w:name w:val="Heading 5 Char"/>
    <w:link w:val="690"/>
    <w:uiPriority w:val="9"/>
    <w:rPr>
      <w:rFonts w:ascii="Arial" w:hAnsi="Arial" w:eastAsia="Arial" w:cs="Arial"/>
      <w:b/>
      <w:bCs/>
      <w:sz w:val="24"/>
      <w:szCs w:val="24"/>
    </w:rPr>
  </w:style>
  <w:style w:type="paragraph" w:styleId="692">
    <w:name w:val="Heading 6"/>
    <w:basedOn w:val="858"/>
    <w:next w:val="858"/>
    <w:link w:val="6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3">
    <w:name w:val="Heading 6 Char"/>
    <w:link w:val="692"/>
    <w:uiPriority w:val="9"/>
    <w:rPr>
      <w:rFonts w:ascii="Arial" w:hAnsi="Arial" w:eastAsia="Arial" w:cs="Arial"/>
      <w:b/>
      <w:bCs/>
      <w:sz w:val="22"/>
      <w:szCs w:val="22"/>
    </w:rPr>
  </w:style>
  <w:style w:type="paragraph" w:styleId="694">
    <w:name w:val="Heading 7"/>
    <w:basedOn w:val="858"/>
    <w:next w:val="858"/>
    <w:link w:val="6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5">
    <w:name w:val="Heading 7 Char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6">
    <w:name w:val="Heading 8"/>
    <w:basedOn w:val="858"/>
    <w:next w:val="858"/>
    <w:link w:val="6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7">
    <w:name w:val="Heading 8 Char"/>
    <w:link w:val="696"/>
    <w:uiPriority w:val="9"/>
    <w:rPr>
      <w:rFonts w:ascii="Arial" w:hAnsi="Arial" w:eastAsia="Arial" w:cs="Arial"/>
      <w:i/>
      <w:iCs/>
      <w:sz w:val="22"/>
      <w:szCs w:val="22"/>
    </w:rPr>
  </w:style>
  <w:style w:type="paragraph" w:styleId="698">
    <w:name w:val="Heading 9"/>
    <w:basedOn w:val="858"/>
    <w:next w:val="858"/>
    <w:link w:val="6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9">
    <w:name w:val="Heading 9 Char"/>
    <w:link w:val="698"/>
    <w:uiPriority w:val="9"/>
    <w:rPr>
      <w:rFonts w:ascii="Arial" w:hAnsi="Arial" w:eastAsia="Arial" w:cs="Arial"/>
      <w:i/>
      <w:iCs/>
      <w:sz w:val="21"/>
      <w:szCs w:val="21"/>
    </w:rPr>
  </w:style>
  <w:style w:type="paragraph" w:styleId="700">
    <w:name w:val="Title"/>
    <w:basedOn w:val="858"/>
    <w:next w:val="858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>
    <w:name w:val="Title Char"/>
    <w:link w:val="700"/>
    <w:uiPriority w:val="10"/>
    <w:rPr>
      <w:sz w:val="48"/>
      <w:szCs w:val="48"/>
    </w:rPr>
  </w:style>
  <w:style w:type="paragraph" w:styleId="702">
    <w:name w:val="Subtitle"/>
    <w:basedOn w:val="858"/>
    <w:next w:val="858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>
    <w:name w:val="Subtitle Char"/>
    <w:link w:val="702"/>
    <w:uiPriority w:val="11"/>
    <w:rPr>
      <w:sz w:val="24"/>
      <w:szCs w:val="24"/>
    </w:rPr>
  </w:style>
  <w:style w:type="paragraph" w:styleId="704">
    <w:name w:val="Quote"/>
    <w:basedOn w:val="858"/>
    <w:next w:val="858"/>
    <w:link w:val="705"/>
    <w:uiPriority w:val="29"/>
    <w:qFormat/>
    <w:pPr>
      <w:ind w:left="720" w:right="720"/>
    </w:pPr>
    <w:rPr>
      <w:i/>
    </w:r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8"/>
    <w:next w:val="858"/>
    <w:link w:val="70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>
    <w:name w:val="Intense Quote Char"/>
    <w:link w:val="706"/>
    <w:uiPriority w:val="30"/>
    <w:rPr>
      <w:i/>
    </w:rPr>
  </w:style>
  <w:style w:type="paragraph" w:styleId="708">
    <w:name w:val="Header"/>
    <w:basedOn w:val="858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>
    <w:name w:val="Header Char"/>
    <w:link w:val="708"/>
    <w:uiPriority w:val="99"/>
  </w:style>
  <w:style w:type="paragraph" w:styleId="710">
    <w:name w:val="Footer"/>
    <w:basedOn w:val="858"/>
    <w:link w:val="71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>
    <w:name w:val="Footer Char"/>
    <w:link w:val="710"/>
    <w:uiPriority w:val="99"/>
  </w:style>
  <w:style w:type="paragraph" w:styleId="712">
    <w:name w:val="Caption"/>
    <w:basedOn w:val="858"/>
    <w:next w:val="8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3">
    <w:name w:val="Caption Char"/>
    <w:basedOn w:val="712"/>
    <w:link w:val="710"/>
    <w:uiPriority w:val="99"/>
  </w:style>
  <w:style w:type="table" w:styleId="714">
    <w:name w:val="Table Grid"/>
    <w:basedOn w:val="85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1">
    <w:name w:val="Grid Table 1 Light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4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3">
    <w:name w:val="Grid Table 4 - Accent 1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4">
    <w:name w:val="Grid Table 4 - Accent 2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5">
    <w:name w:val="Grid Table 4 - Accent 3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6">
    <w:name w:val="Grid Table 4 - Accent 4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7">
    <w:name w:val="Grid Table 4 - Accent 5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8">
    <w:name w:val="Grid Table 4 - Accent 6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9">
    <w:name w:val="Grid Table 5 Dark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6">
    <w:name w:val="Grid Table 6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8">
    <w:name w:val="List Table 2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9">
    <w:name w:val="List Table 2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0">
    <w:name w:val="List Table 2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1">
    <w:name w:val="List Table 2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2">
    <w:name w:val="List Table 2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3">
    <w:name w:val="List Table 2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4">
    <w:name w:val="List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6">
    <w:name w:val="List Table 6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7">
    <w:name w:val="List Table 6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8">
    <w:name w:val="List Table 6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9">
    <w:name w:val="List Table 6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0">
    <w:name w:val="List Table 6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1">
    <w:name w:val="List Table 6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2">
    <w:name w:val="List Table 7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4">
    <w:name w:val="List Table 7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5">
    <w:name w:val="List Table 7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6">
    <w:name w:val="List Table 7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7">
    <w:name w:val="List Table 7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8">
    <w:name w:val="List Table 7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9">
    <w:name w:val="Lined - Accent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Lined - Accent 1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1">
    <w:name w:val="Lined - Accent 2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2">
    <w:name w:val="Lined - Accent 3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3">
    <w:name w:val="Lined - Accent 4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4">
    <w:name w:val="Lined - Accent 5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5">
    <w:name w:val="Lined - Accent 6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6">
    <w:name w:val="Bordered &amp; Lined - Accent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Bordered &amp; Lined - Accent 1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8">
    <w:name w:val="Bordered &amp; Lined - Accent 2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9">
    <w:name w:val="Bordered &amp; Lined - Accent 3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0">
    <w:name w:val="Bordered &amp; Lined - Accent 4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1">
    <w:name w:val="Bordered &amp; Lined - Accent 5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2">
    <w:name w:val="Bordered &amp; Lined - Accent 6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3">
    <w:name w:val="Bordered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4">
    <w:name w:val="Bordered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5">
    <w:name w:val="Bordered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6">
    <w:name w:val="Bordered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7">
    <w:name w:val="Bordered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8">
    <w:name w:val="Bordered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9">
    <w:name w:val="Bordered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858"/>
    <w:link w:val="842"/>
    <w:uiPriority w:val="99"/>
    <w:semiHidden/>
    <w:unhideWhenUsed/>
    <w:pPr>
      <w:spacing w:after="40" w:line="240" w:lineRule="auto"/>
    </w:pPr>
    <w:rPr>
      <w:sz w:val="18"/>
    </w:r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uiPriority w:val="99"/>
    <w:unhideWhenUsed/>
    <w:rPr>
      <w:vertAlign w:val="superscript"/>
    </w:rPr>
  </w:style>
  <w:style w:type="paragraph" w:styleId="844">
    <w:name w:val="endnote text"/>
    <w:basedOn w:val="858"/>
    <w:link w:val="845"/>
    <w:uiPriority w:val="99"/>
    <w:semiHidden/>
    <w:unhideWhenUsed/>
    <w:pPr>
      <w:spacing w:after="0" w:line="240" w:lineRule="auto"/>
    </w:pPr>
    <w:rPr>
      <w:sz w:val="20"/>
    </w:r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uiPriority w:val="99"/>
    <w:semiHidden/>
    <w:unhideWhenUsed/>
    <w:rPr>
      <w:vertAlign w:val="superscript"/>
    </w:rPr>
  </w:style>
  <w:style w:type="paragraph" w:styleId="847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8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9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50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51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52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53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54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55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</w:style>
  <w:style w:type="table" w:styleId="8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  <w:style w:type="paragraph" w:styleId="861">
    <w:name w:val="No Spacing"/>
    <w:basedOn w:val="858"/>
    <w:uiPriority w:val="1"/>
    <w:qFormat/>
    <w:pPr>
      <w:spacing w:after="0" w:line="240" w:lineRule="auto"/>
    </w:pPr>
  </w:style>
  <w:style w:type="paragraph" w:styleId="862">
    <w:name w:val="List Paragraph"/>
    <w:basedOn w:val="858"/>
    <w:uiPriority w:val="34"/>
    <w:qFormat/>
    <w:pPr>
      <w:contextualSpacing/>
      <w:ind w:left="720"/>
    </w:pPr>
  </w:style>
  <w:style w:type="character" w:styleId="863" w:default="1">
    <w:name w:val="Default Paragraph Font"/>
    <w:uiPriority w:val="1"/>
    <w:semiHidden/>
    <w:unhideWhenUsed/>
  </w:style>
  <w:style w:type="paragraph" w:styleId="864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65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66" w:customStyle="1">
    <w:name w:val="ConsPlusCel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2023-08-10T13:14:55Z</dcterms:modified>
</cp:coreProperties>
</file>