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after="0" w:line="240" w:lineRule="exact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ind w:left="5103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103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left="5103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</w:t>
      </w:r>
      <w:r/>
    </w:p>
    <w:p>
      <w:pPr>
        <w:ind w:left="5103"/>
        <w:spacing w:after="0" w:line="240" w:lineRule="exact"/>
        <w:tabs>
          <w:tab w:val="left" w:pos="4962" w:leader="none"/>
        </w:tabs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color w:val="ffffff" w:themeColor="background1"/>
          <w:sz w:val="28"/>
          <w:szCs w:val="28"/>
        </w:rPr>
        <w:t xml:space="preserve">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/>
      <w:bookmarkStart w:id="0" w:name="Par44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ПРОГРАММА ПРОФИЛАКТИКИ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при осуществлении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на</w:t>
      </w:r>
      <w:r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1" w:name="Par94"/>
      <w:r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текущего состояния осуществления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сфере благоустройства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описание текущего развития профилактической деятельности контрольн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характеристика проблем,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решение которых направлена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рограмма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</w:t>
      </w:r>
      <w:r>
        <w:rPr>
          <w:rFonts w:ascii="Times New Roman" w:hAnsi="Times New Roman" w:cs="Times New Roman"/>
          <w:sz w:val="28"/>
          <w:szCs w:val="28"/>
        </w:rPr>
        <w:t xml:space="preserve">рограмма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Программа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муниципальный контроль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Контрольными органами, осуществляющими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  <w:r/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городского хозяйства администрации города Ставрополя;</w:t>
      </w:r>
      <w:r/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градостроительства администрации города Ставрополя;</w:t>
      </w:r>
      <w:r/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района города Ставрополя;</w:t>
      </w:r>
      <w:r/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города Ставрополя;</w:t>
      </w:r>
      <w:r/>
    </w:p>
    <w:p>
      <w:pPr>
        <w:pStyle w:val="85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Октябрьского района города Ставрополя.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Контролируемые лица, в отношении которых контрольными органами проводятся профилактические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- </w:t>
      </w:r>
      <w:r>
        <w:rPr>
          <w:rFonts w:ascii="Times New Roman" w:hAnsi="Times New Roman" w:cs="Times New Roman"/>
          <w:sz w:val="28"/>
          <w:szCs w:val="28"/>
        </w:rPr>
        <w:t xml:space="preserve">юридически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лица,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предприниматели и граждан</w:t>
      </w:r>
      <w:r>
        <w:rPr>
          <w:rFonts w:ascii="Times New Roman" w:hAnsi="Times New Roman" w:cs="Times New Roman"/>
          <w:sz w:val="28"/>
          <w:szCs w:val="28"/>
        </w:rPr>
        <w:t xml:space="preserve">е.</w:t>
      </w:r>
      <w:r/>
    </w:p>
    <w:p>
      <w:pPr>
        <w:pStyle w:val="846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действием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10 марта 2022 г. № 336 «Об особенностях организации и осуществления государственного контроля (надзора), муниципального контроля» в 2023 году контрольными органами контрольные мероприятия по муниципальному контролю в сфере благоустройства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профилактики нарушений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контрольным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  <w:r/>
    </w:p>
    <w:p>
      <w:pPr>
        <w:pStyle w:val="846"/>
        <w:ind w:left="0"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нформирование посредством размещения сведений, предусмотренных частью 3 статьи 46 Федерального закона № 248-ФЗ,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соблюдения обязательных требований установленных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23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127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/>
      <w:bookmarkStart w:id="2" w:name="Par175"/>
      <w:r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Раздел 2. Цели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>
        <w:rPr>
          <w:rFonts w:ascii="Times New Roman" w:hAnsi="Times New Roman" w:cs="Times New Roman"/>
          <w:bCs/>
          <w:sz w:val="28"/>
          <w:szCs w:val="28"/>
        </w:rPr>
        <w:t xml:space="preserve">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  <w:r/>
    </w:p>
    <w:p>
      <w:pPr>
        <w:pStyle w:val="846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46"/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/>
    </w:p>
    <w:p>
      <w:pPr>
        <w:pStyle w:val="846"/>
        <w:ind w:left="0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>
        <w:rPr>
          <w:rFonts w:ascii="Times New Roman" w:hAnsi="Times New Roman" w:cs="Times New Roman"/>
          <w:bCs/>
          <w:sz w:val="28"/>
          <w:szCs w:val="28"/>
        </w:rPr>
        <w:t xml:space="preserve">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крепление </w:t>
      </w:r>
      <w:r>
        <w:rPr>
          <w:rFonts w:ascii="Times New Roman" w:hAnsi="Times New Roman" w:cs="Times New Roman"/>
          <w:sz w:val="28"/>
          <w:szCs w:val="28"/>
        </w:rPr>
        <w:t xml:space="preserve">системы профилактики нарушений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ыявление факторов угрозы причинения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(ущерба).</w:t>
      </w:r>
      <w:r/>
    </w:p>
    <w:p>
      <w:pPr>
        <w:pStyle w:val="846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3. Перечень профилактических мероприятий, сроки (периодичность) их проведения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outlineLvl w:val="1"/>
      </w:pPr>
      <w:r>
        <w:rPr>
          <w:rFonts w:ascii="Times New Roman" w:hAnsi="Times New Roman" w:cs="Times New Roman"/>
          <w:bCs/>
          <w:sz w:val="16"/>
          <w:szCs w:val="16"/>
        </w:rPr>
      </w:r>
      <w:r/>
    </w:p>
    <w:tbl>
      <w:tblPr>
        <w:tblStyle w:val="851"/>
        <w:tblW w:w="0" w:type="auto"/>
        <w:tblBorders>
          <w:bottom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799"/>
      </w:tblGrid>
      <w:tr>
        <w:trPr/>
        <w:tc>
          <w:tcPr>
            <w:tcW w:w="534" w:type="dxa"/>
            <w:textDirection w:val="lrTb"/>
            <w:noWrap w:val="false"/>
          </w:tcPr>
          <w:p>
            <w:pPr>
              <w:ind w:left="-142" w:right="-108"/>
              <w:jc w:val="center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№ </w:t>
            </w:r>
            <w:r/>
          </w:p>
          <w:p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п</w:t>
            </w:r>
            <w:r>
              <w:rPr>
                <w:rFonts w:ascii="Times New Roman" w:hAnsi="Times New Roman" w:cs="Times New Roman"/>
                <w:iCs/>
              </w:rPr>
              <w:t xml:space="preserve">/п</w:t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ind w:firstLine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Наименование мероприятия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Срок исполнения</w:t>
            </w:r>
            <w:r/>
          </w:p>
        </w:tc>
        <w:tc>
          <w:tcPr>
            <w:tcW w:w="2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Отраслевой (функциональный) и территориальный орган администрации города Ставрополя, ответственный за реализацию</w:t>
            </w:r>
            <w:r/>
          </w:p>
        </w:tc>
      </w:tr>
    </w:tbl>
    <w:p>
      <w:pPr>
        <w:spacing w:after="0" w:line="20" w:lineRule="exact"/>
        <w:rPr>
          <w:rFonts w:ascii="Gabriola" w:hAnsi="Gabriola"/>
          <w:sz w:val="2"/>
          <w:szCs w:val="2"/>
        </w:rPr>
      </w:pPr>
      <w:r>
        <w:rPr>
          <w:rFonts w:ascii="Gabriola" w:hAnsi="Gabriola"/>
          <w:sz w:val="2"/>
          <w:szCs w:val="2"/>
        </w:rPr>
      </w:r>
      <w:r/>
    </w:p>
    <w:tbl>
      <w:tblPr>
        <w:tblStyle w:val="85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4542"/>
        <w:gridCol w:w="1701"/>
        <w:gridCol w:w="2799"/>
      </w:tblGrid>
      <w:tr>
        <w:trPr>
          <w:tblHeader/>
        </w:trPr>
        <w:tc>
          <w:tcPr>
            <w:tcW w:w="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1</w:t>
            </w:r>
            <w:r/>
          </w:p>
        </w:tc>
        <w:tc>
          <w:tcPr>
            <w:tcW w:w="45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3</w:t>
            </w:r>
            <w:r/>
          </w:p>
        </w:tc>
        <w:tc>
          <w:tcPr>
            <w:tcW w:w="2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4</w:t>
            </w:r>
            <w:r/>
          </w:p>
        </w:tc>
      </w:tr>
      <w:tr>
        <w:trPr>
          <w:trHeight w:val="333"/>
        </w:trPr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1.</w:t>
            </w:r>
            <w:r/>
          </w:p>
        </w:tc>
        <w:tc>
          <w:tcPr>
            <w:gridSpan w:val="3"/>
            <w:tcW w:w="9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Информирование</w:t>
            </w:r>
            <w:r>
              <w:rPr>
                <w:rFonts w:ascii="Times New Roman" w:hAnsi="Times New Roman" w:cs="Times New Roman"/>
                <w:iCs/>
              </w:rPr>
              <w:t xml:space="preserve">:</w:t>
            </w:r>
            <w:r/>
          </w:p>
        </w:tc>
      </w:tr>
      <w:tr>
        <w:trPr/>
        <w:tc>
          <w:tcPr>
            <w:tcW w:w="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4542" w:type="dxa"/>
            <w:textDirection w:val="lrTb"/>
            <w:noWrap w:val="false"/>
          </w:tcPr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</w:t>
            </w:r>
            <w:r>
              <w:rPr>
                <w:rFonts w:ascii="Times New Roman" w:hAnsi="Times New Roman" w:cs="Times New Roman"/>
                <w:iCs/>
              </w:rPr>
              <w:t xml:space="preserve">азмещение </w:t>
            </w:r>
            <w:r>
              <w:rPr>
                <w:rFonts w:ascii="Times New Roman" w:hAnsi="Times New Roman" w:cs="Times New Roman"/>
              </w:rPr>
              <w:t xml:space="preserve">сведений, касающихся осуществления муниципального контроля в сфере благоустройства на официальном сайте администрации города Ставрополя                                в информационно-телекоммуникационной сети «Интернет» и средствах массовой информации: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) тексты нормативных правовых актов, регулирующих осуществление муниципального контроля в сфере благоустройства;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) </w:t>
            </w:r>
            <w:hyperlink r:id="rId11" w:tooltip="consultantplus://offline/ref=F248FBD79A1D31F6710BC76413C484456F2071638B144D5C3D873A012D354837A7C90436DDD6236ADAD20CCFAB17C4O" w:history="1">
              <w:r>
                <w:rPr>
                  <w:rFonts w:ascii="Times New Roman" w:hAnsi="Times New Roman" w:cs="Times New Roman"/>
                </w:rPr>
                <w:t xml:space="preserve">перечень</w:t>
              </w:r>
            </w:hyperlink>
            <w:r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</w:t>
            </w:r>
            <w:r>
              <w:rPr>
                <w:rFonts w:ascii="Times New Roman" w:hAnsi="Times New Roman" w:cs="Times New Roman"/>
              </w:rPr>
              <w:t xml:space="preserve">я</w:t>
            </w:r>
            <w:r>
              <w:rPr>
                <w:rFonts w:ascii="Times New Roman" w:hAnsi="Times New Roman" w:cs="Times New Roman"/>
              </w:rPr>
              <w:t xml:space="preserve"> о мерах ответственности, применяемых при нарушении обязательных требований, с текстами в действующей редакции;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12" w:tooltip="consultantplus://offline/ref=F248FBD79A1D31F6710BC76413C484456E29746B81124D5C3D873A012D354837B5C95C3ADDDF3C6AD2C75A9EED203D5DBA949216D3FDFDC11BC8O" w:history="1">
              <w:r>
                <w:rPr>
                  <w:rFonts w:ascii="Times New Roman" w:hAnsi="Times New Roman" w:cs="Times New Roman"/>
                </w:rPr>
                <w:t xml:space="preserve">законом</w:t>
              </w:r>
            </w:hyperlink>
            <w:r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) перечень индикаторов риска нарушения обязательных требований;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программа профилактики рисков причинения вреда</w:t>
            </w:r>
            <w:r>
              <w:rPr>
                <w:rFonts w:ascii="Times New Roman" w:hAnsi="Times New Roman" w:cs="Times New Roman"/>
              </w:rPr>
              <w:t xml:space="preserve">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) исчерпывающий перечень сведений, которые могут запрашиваться контрольным органом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 контролируемого лица;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) сведения о способах получения консультаций по вопросам соб</w:t>
            </w:r>
            <w:r>
              <w:rPr>
                <w:rFonts w:ascii="Times New Roman" w:hAnsi="Times New Roman" w:cs="Times New Roman"/>
              </w:rPr>
              <w:t xml:space="preserve">людения обязательных требований</w:t>
            </w:r>
            <w:r>
              <w:rPr>
                <w:rFonts w:ascii="Times New Roman" w:hAnsi="Times New Roman" w:cs="Times New Roman"/>
              </w:rPr>
              <w:t xml:space="preserve">;</w:t>
            </w:r>
            <w:r/>
          </w:p>
          <w:p>
            <w:pPr>
              <w:pStyle w:val="852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9) сведения о порядке досудебного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жалования решений контрольного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органа, действий (бездействия) его должностных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лиц;</w:t>
            </w:r>
            <w:r/>
          </w:p>
          <w:p>
            <w:pPr>
              <w:pStyle w:val="852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доклады, содержащие результаты обобщения правоприменительной практики контрольного органа;</w:t>
            </w:r>
            <w:r/>
          </w:p>
          <w:p>
            <w:pPr>
              <w:pStyle w:val="852"/>
              <w:ind w:firstLine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доклады о муниципальном контроле;</w:t>
            </w:r>
            <w:r/>
          </w:p>
          <w:p>
            <w:pPr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п</w:t>
            </w:r>
            <w:r>
              <w:rPr>
                <w:rFonts w:ascii="Times New Roman" w:hAnsi="Times New Roman" w:cs="Times New Roman"/>
                <w:iCs/>
              </w:rPr>
              <w:t xml:space="preserve">остоянно</w:t>
            </w:r>
            <w:r/>
          </w:p>
        </w:tc>
        <w:tc>
          <w:tcPr>
            <w:tcW w:w="27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комитет городского хозяйства администрации города Ставрополя, комитет градостроительства администрации города Ставрополя, администрации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районов города Ставрополя</w:t>
            </w:r>
            <w:r/>
          </w:p>
        </w:tc>
      </w:tr>
      <w:tr>
        <w:trPr/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2. </w:t>
            </w:r>
            <w:r/>
          </w:p>
        </w:tc>
        <w:tc>
          <w:tcPr>
            <w:gridSpan w:val="3"/>
            <w:tcW w:w="9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Объявление предостережения</w:t>
            </w:r>
            <w:r>
              <w:rPr>
                <w:rFonts w:ascii="Times New Roman" w:hAnsi="Times New Roman" w:cs="Times New Roman"/>
                <w:iCs/>
              </w:rPr>
              <w:t xml:space="preserve">:</w:t>
            </w:r>
            <w:r/>
          </w:p>
        </w:tc>
      </w:tr>
      <w:tr>
        <w:trPr/>
        <w:tc>
          <w:tcPr>
            <w:tcW w:w="528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4542" w:type="dxa"/>
            <w:textDirection w:val="lrTb"/>
            <w:noWrap w:val="false"/>
          </w:tcPr>
          <w:p>
            <w:pPr>
              <w:ind w:firstLine="459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направление</w:t>
            </w:r>
            <w:r>
              <w:rPr>
                <w:rFonts w:ascii="Times New Roman" w:hAnsi="Times New Roman" w:cs="Times New Roman"/>
              </w:rPr>
              <w:t xml:space="preserve"> предостережения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/>
          </w:p>
        </w:tc>
        <w:tc>
          <w:tcPr>
            <w:tcW w:w="279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  <w:r/>
          </w:p>
        </w:tc>
      </w:tr>
      <w:tr>
        <w:trPr>
          <w:trHeight w:val="327"/>
        </w:trPr>
        <w:tc>
          <w:tcPr>
            <w:tcW w:w="5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3. </w:t>
            </w:r>
            <w:r/>
          </w:p>
        </w:tc>
        <w:tc>
          <w:tcPr>
            <w:gridSpan w:val="3"/>
            <w:tcW w:w="90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Консультирование</w:t>
            </w:r>
            <w:r>
              <w:rPr>
                <w:rFonts w:ascii="Times New Roman" w:hAnsi="Times New Roman" w:cs="Times New Roman"/>
                <w:iCs/>
              </w:rPr>
              <w:t xml:space="preserve">:</w:t>
            </w:r>
            <w:r/>
          </w:p>
        </w:tc>
      </w:tr>
      <w:tr>
        <w:trPr/>
        <w:tc>
          <w:tcPr>
            <w:tcW w:w="52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W w:w="4542" w:type="dxa"/>
            <w:textDirection w:val="lrTb"/>
            <w:noWrap w:val="false"/>
          </w:tcPr>
          <w:p>
            <w:pPr>
              <w:ind w:firstLine="284"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</w:t>
            </w:r>
            <w:r>
              <w:rPr>
                <w:rFonts w:ascii="Times New Roman" w:hAnsi="Times New Roman" w:cs="Times New Roman"/>
              </w:rPr>
              <w:t xml:space="preserve">существляется должностным лицом уполномоченного органа:</w:t>
            </w:r>
            <w:r/>
          </w:p>
          <w:p>
            <w:pPr>
              <w:ind w:firstLine="284"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по телефону;</w:t>
            </w:r>
            <w:r/>
          </w:p>
          <w:p>
            <w:pPr>
              <w:ind w:firstLine="284"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посредством видео-конференц-связи; </w:t>
            </w:r>
            <w:r/>
          </w:p>
          <w:p>
            <w:pPr>
              <w:ind w:firstLine="284"/>
              <w:jc w:val="both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на личном приеме;</w:t>
            </w:r>
            <w:r/>
          </w:p>
          <w:p>
            <w:pPr>
              <w:ind w:firstLine="284"/>
              <w:jc w:val="both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 xml:space="preserve">посредством письменного ответа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left="-90" w:right="-107"/>
              <w:jc w:val="center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при поступлении обращения от контролируемого лица </w:t>
            </w:r>
            <w:r>
              <w:rPr>
                <w:rFonts w:ascii="Times New Roman" w:hAnsi="Times New Roman" w:cs="Times New Roman"/>
              </w:rPr>
              <w:t xml:space="preserve">по вопросам, связанным с организацией и осуществлением муниципального </w:t>
            </w:r>
            <w:r>
              <w:rPr>
                <w:rFonts w:ascii="Times New Roman" w:hAnsi="Times New Roman" w:cs="Times New Roman"/>
              </w:rPr>
              <w:t xml:space="preserve">контроля в сфере благоустройства</w:t>
            </w:r>
            <w:r/>
          </w:p>
        </w:tc>
        <w:tc>
          <w:tcPr>
            <w:tcW w:w="279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iCs/>
              </w:rPr>
              <w:t xml:space="preserve">комитет городского хозяйства администрации города Ставрополя, комитет градостроительства администрации города Ставрополя, администрации районов города Ставрополя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outlineLvl w:val="1"/>
      </w:pPr>
      <w:r>
        <w:rPr>
          <w:rFonts w:ascii="Times New Roman" w:hAnsi="Times New Roman" w:cs="Times New Roman"/>
          <w:bCs/>
          <w:sz w:val="16"/>
          <w:szCs w:val="16"/>
        </w:rPr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Консультирование контролируемых лиц осуществляется должностным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в устной или письменной форме по следующим вопросам: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осуществление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sz w:val="28"/>
          <w:szCs w:val="28"/>
        </w:rPr>
        <w:t xml:space="preserve">контроле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 августа 2021 г. № </w:t>
      </w:r>
      <w:r>
        <w:rPr>
          <w:rFonts w:ascii="Times New Roman" w:hAnsi="Times New Roman"/>
          <w:sz w:val="28"/>
          <w:szCs w:val="28"/>
        </w:rPr>
        <w:t xml:space="preserve">600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 должностных лиц </w:t>
      </w:r>
      <w:r>
        <w:rPr>
          <w:rFonts w:ascii="Times New Roman" w:hAnsi="Times New Roman"/>
          <w:sz w:val="28"/>
          <w:szCs w:val="28"/>
        </w:rPr>
        <w:t xml:space="preserve">контрольн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contextualSpacing/>
        <w:ind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8"/>
          <w:szCs w:val="28"/>
        </w:rPr>
        <w:t xml:space="preserve">контрольным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в рамках контрольных мероприятий.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outlineLvl w:val="1"/>
      </w:pPr>
      <w:r>
        <w:rPr>
          <w:rFonts w:ascii="Times New Roman" w:hAnsi="Times New Roman" w:cs="Times New Roman"/>
          <w:bCs/>
          <w:sz w:val="16"/>
          <w:szCs w:val="16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4. Показатели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зультативности и эффективности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рограммы профилактики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tbl>
      <w:tblPr>
        <w:tblStyle w:val="851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7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 в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частью 3 статьи 46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248-ФЗ </w:t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контролируемых лиц и их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органа</w:t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поступали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70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профилактических мероприятий</w:t>
            </w:r>
            <w:r/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9 месяцев 2023 года </w:t>
      </w:r>
      <w:bookmarkStart w:id="3" w:name="_GoBack"/>
      <w:r>
        <w:rPr>
          <w:rFonts w:ascii="Times New Roman" w:hAnsi="Times New Roman" w:cs="Times New Roman"/>
          <w:sz w:val="28"/>
          <w:szCs w:val="28"/>
        </w:rPr>
        <w:t xml:space="preserve">контрольными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sz w:val="28"/>
          <w:szCs w:val="28"/>
        </w:rPr>
        <w:t xml:space="preserve">33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 Правил благоустройства, в части соблюдения порядка проведения работ по строительству и реконструкции инженерных коммуникаций; восстановления нарушенного благоустройства при проведении работ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связанных со вскрытием грунтов и твердых покрытий; обеспечения сохранности зеленых насаждений при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; соблюдения обязательных требований к ограждениям строительных площадок;</w:t>
      </w:r>
      <w:r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к архитектурно-градостроительному облику зданий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сообщений граждан, поступавших в контрольные органы,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80</w:t>
      </w:r>
      <w:r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аций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требований Правил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по вышеуказанным вопросам.</w:t>
      </w:r>
      <w:bookmarkEnd w:id="3"/>
      <w:r/>
      <w:r/>
    </w:p>
    <w:p>
      <w:pPr>
        <w:ind w:firstLine="567"/>
        <w:jc w:val="both"/>
        <w:spacing w:after="0" w:line="293" w:lineRule="atLeast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Ожидаемый результат реализации </w:t>
      </w:r>
      <w:r>
        <w:rPr>
          <w:rFonts w:ascii="Times New Roman" w:hAnsi="Times New Roman" w:eastAsia="Times New Roman"/>
          <w:sz w:val="28"/>
          <w:szCs w:val="28"/>
        </w:rPr>
        <w:t xml:space="preserve">Программы </w:t>
      </w:r>
      <w:r>
        <w:rPr>
          <w:rFonts w:ascii="Times New Roman" w:hAnsi="Times New Roman" w:eastAsia="Times New Roman"/>
          <w:sz w:val="28"/>
          <w:szCs w:val="28"/>
        </w:rPr>
        <w:t xml:space="preserve">профилактики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- снижение количества выявленных нарушений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обязательных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требований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установленных Правилами благоустройства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, связанных, в первую очередь,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увеличени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ем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количества проводимых профилактических мероприятий.</w:t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главы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briola">
    <w:panose1 w:val="02060606050605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50079262"/>
      <w:docPartObj>
        <w:docPartGallery w:val="Page Numbers (Top of Page)"/>
        <w:docPartUnique w:val="true"/>
      </w:docPartObj>
      <w:rPr/>
    </w:sdtPr>
    <w:sdtContent>
      <w:p>
        <w:pPr>
          <w:pStyle w:val="847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779" w:hanging="360"/>
      </w:pPr>
      <w:rPr>
        <w:rFonts w:ascii="Times New Roman" w:hAnsi="Times New Roman" w:cs="Times New Roman" w:eastAsiaTheme="minorEastAsia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070" w:hanging="360"/>
      </w:pPr>
      <w:rPr>
        <w:rFonts w:ascii="Times New Roman" w:hAnsi="Times New Roman" w:cs="Times New Roman" w:eastAsiaTheme="minorEastAsia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2"/>
    <w:next w:val="842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2"/>
    <w:next w:val="842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2"/>
    <w:next w:val="842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2"/>
    <w:next w:val="842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47"/>
    <w:uiPriority w:val="99"/>
  </w:style>
  <w:style w:type="character" w:styleId="696">
    <w:name w:val="Footer Char"/>
    <w:basedOn w:val="843"/>
    <w:link w:val="849"/>
    <w:uiPriority w:val="99"/>
  </w:style>
  <w:style w:type="paragraph" w:styleId="697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49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List Paragraph"/>
    <w:basedOn w:val="842"/>
    <w:qFormat/>
    <w:pPr>
      <w:contextualSpacing/>
      <w:ind w:left="720"/>
    </w:pPr>
  </w:style>
  <w:style w:type="paragraph" w:styleId="847">
    <w:name w:val="Header"/>
    <w:basedOn w:val="842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43"/>
    <w:link w:val="847"/>
    <w:uiPriority w:val="99"/>
  </w:style>
  <w:style w:type="paragraph" w:styleId="849">
    <w:name w:val="Footer"/>
    <w:basedOn w:val="842"/>
    <w:link w:val="85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43"/>
    <w:link w:val="849"/>
    <w:uiPriority w:val="99"/>
  </w:style>
  <w:style w:type="table" w:styleId="851">
    <w:name w:val="Table Grid"/>
    <w:basedOn w:val="8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 w:customStyle="1">
    <w:name w:val="ConsPlusNormal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53">
    <w:name w:val="Balloon Text"/>
    <w:basedOn w:val="842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3"/>
    <w:link w:val="85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A79CE-8B8A-477D-8860-AE5D1C3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revision>41</cp:revision>
  <dcterms:created xsi:type="dcterms:W3CDTF">2021-12-15T09:21:00Z</dcterms:created>
  <dcterms:modified xsi:type="dcterms:W3CDTF">2023-10-02T05:50:05Z</dcterms:modified>
</cp:coreProperties>
</file>