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540</w:t>
      </w:r>
    </w:p>
    <w:p w14:paraId="03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заседания комиссии по проведению торгов по продаже муниципального имущества г</w:t>
      </w:r>
      <w:r>
        <w:rPr>
          <w:rFonts w:ascii="Times New Roman" w:hAnsi="Times New Roman"/>
          <w:b w:val="1"/>
          <w:sz w:val="28"/>
        </w:rPr>
        <w:t xml:space="preserve">орода Ставрополя по подведению итогов продажи имущества посредством  публичного предложения </w:t>
      </w:r>
    </w:p>
    <w:p w14:paraId="04000000">
      <w:pPr>
        <w:spacing w:after="0" w:line="240" w:lineRule="exact"/>
        <w:ind/>
        <w:jc w:val="center"/>
        <w:rPr>
          <w:rFonts w:ascii="Times New Roman" w:hAnsi="Times New Roman"/>
          <w:b w:val="1"/>
          <w:color w:val="000000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color w:val="000000"/>
          <w:sz w:val="28"/>
        </w:rPr>
        <w:t>изве</w:t>
      </w:r>
      <w:r>
        <w:rPr>
          <w:rFonts w:ascii="Times New Roman" w:hAnsi="Times New Roman"/>
          <w:b w:val="1"/>
          <w:sz w:val="28"/>
        </w:rPr>
        <w:t xml:space="preserve">щение № </w:t>
      </w:r>
      <w:r>
        <w:rPr>
          <w:rFonts w:ascii="Times New Roman" w:hAnsi="Times New Roman"/>
          <w:b w:val="1"/>
          <w:sz w:val="28"/>
        </w:rPr>
        <w:t>21000004960000000097 лот № 8</w:t>
      </w:r>
      <w:r>
        <w:rPr>
          <w:rFonts w:ascii="Times New Roman" w:hAnsi="Times New Roman"/>
          <w:b w:val="1"/>
          <w:sz w:val="28"/>
        </w:rPr>
        <w:t>)</w:t>
      </w:r>
    </w:p>
    <w:p w14:paraId="05000000">
      <w:pPr>
        <w:spacing w:after="0" w:line="24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 16 января </w:t>
      </w:r>
      <w:r>
        <w:rPr>
          <w:rFonts w:ascii="Times New Roman" w:hAnsi="Times New Roman"/>
          <w:sz w:val="28"/>
        </w:rPr>
        <w:t xml:space="preserve"> 2024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240" w:lineRule="auto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начало торгов: 10:00:00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 1</w:t>
      </w:r>
      <w:r>
        <w:rPr>
          <w:rFonts w:ascii="Times New Roman" w:hAnsi="Times New Roman"/>
          <w:sz w:val="28"/>
        </w:rPr>
        <w:t>2:53:42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0A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26.10.2024</w:t>
      </w:r>
      <w:r>
        <w:rPr>
          <w:rFonts w:ascii="Times New Roman" w:hAnsi="Times New Roman"/>
          <w:color w:val="000000"/>
          <w:spacing w:val="-4"/>
          <w:sz w:val="28"/>
        </w:rPr>
        <w:t xml:space="preserve"> № 2356</w:t>
      </w:r>
      <w:r>
        <w:rPr>
          <w:rFonts w:ascii="Times New Roman" w:hAnsi="Times New Roman"/>
          <w:color w:val="000000"/>
          <w:spacing w:val="-4"/>
          <w:sz w:val="28"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«Об условиях приватизации муниципального имущества города Ставрополя»</w:t>
      </w:r>
      <w:r>
        <w:rPr>
          <w:sz w:val="28"/>
        </w:rPr>
        <w:t xml:space="preserve">, </w:t>
      </w:r>
      <w:r>
        <w:rPr>
          <w:sz w:val="28"/>
        </w:rPr>
        <w:t xml:space="preserve">подвела итоги продажи имущества, находящегося в муниципальной  собственности города Ставрополя Ставропольского края, посредством публичного предложения </w:t>
      </w:r>
      <w:r>
        <w:rPr>
          <w:sz w:val="28"/>
        </w:rPr>
        <w:t>в электронной форме</w:t>
      </w:r>
      <w:r>
        <w:rPr>
          <w:sz w:val="28"/>
        </w:rPr>
        <w:t xml:space="preserve">, </w:t>
      </w:r>
      <w:r>
        <w:rPr>
          <w:sz w:val="28"/>
        </w:rPr>
        <w:t>объявленного</w:t>
      </w:r>
      <w:r>
        <w:rPr>
          <w:sz w:val="28"/>
        </w:rPr>
        <w:t xml:space="preserve"> </w:t>
      </w:r>
      <w:r>
        <w:rPr>
          <w:sz w:val="28"/>
        </w:rPr>
        <w:t>на</w:t>
      </w:r>
      <w:r>
        <w:rPr>
          <w:sz w:val="28"/>
        </w:rPr>
        <w:t xml:space="preserve">                              16 января 2024</w:t>
      </w:r>
      <w:r>
        <w:rPr>
          <w:sz w:val="28"/>
        </w:rPr>
        <w:t xml:space="preserve"> года в 10 часов 00 минут на электронной площадке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B000000">
      <w:pPr>
        <w:pStyle w:val="Style_3"/>
        <w:spacing w:line="240" w:lineRule="auto"/>
        <w:ind w:firstLine="720" w:left="0"/>
        <w:jc w:val="both"/>
        <w:rPr>
          <w:sz w:val="28"/>
        </w:rPr>
      </w:pPr>
    </w:p>
    <w:p w14:paraId="0C000000">
      <w:pPr>
        <w:pStyle w:val="Style_3"/>
        <w:spacing w:line="240" w:lineRule="auto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D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F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224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Бенедюк Нина </w:t>
            </w:r>
          </w:p>
          <w:p w14:paraId="11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Викторовна </w:t>
            </w:r>
          </w:p>
          <w:p w14:paraId="1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 заместителя главы администрации города Ставрополя, руководителя комитета по управлению муниципальным имуществом города Ставрополя руководитель отдела нежилых объектов недвижимости комитета по управлению муниципальным имуществом города Ставрополя, заместитель председателя комиссии</w:t>
            </w:r>
          </w:p>
        </w:tc>
      </w:tr>
      <w:tr>
        <w:trPr>
          <w:trHeight w:hRule="atLeast" w:val="32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17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/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9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>
        <w:trPr>
          <w:trHeight w:hRule="atLeast" w:val="1445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1B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C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E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</w:p>
          <w:p w14:paraId="21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</w:t>
            </w:r>
            <w:r>
              <w:rPr>
                <w:rFonts w:ascii="Times New Roman" w:hAnsi="Times New Roman"/>
                <w:sz w:val="28"/>
              </w:rPr>
              <w:t xml:space="preserve"> - главный бухгалтер</w:t>
            </w:r>
            <w:r>
              <w:rPr>
                <w:rFonts w:ascii="Times New Roman" w:hAnsi="Times New Roman"/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rPr>
          <w:trHeight w:hRule="atLeast" w:val="135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Холод Светлана Викторовна </w:t>
            </w:r>
          </w:p>
          <w:p w14:paraId="23000000">
            <w:pPr>
              <w:spacing w:after="0" w:line="240" w:lineRule="auto"/>
              <w:ind w:firstLine="0" w:left="0"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5000000">
            <w:pPr>
              <w:spacing w:after="0" w:line="240" w:lineRule="auto"/>
              <w:ind w:firstLine="0" w:left="0"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</w:tbl>
    <w:p w14:paraId="26000000">
      <w:pPr>
        <w:pStyle w:val="Style_6"/>
        <w:spacing w:line="240" w:lineRule="auto"/>
        <w:ind/>
        <w:rPr>
          <w:rFonts w:ascii="Times New Roman" w:hAnsi="Times New Roman"/>
        </w:rPr>
      </w:pPr>
    </w:p>
    <w:p w14:paraId="27000000">
      <w:pPr>
        <w:spacing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 комиссии, утвержден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Ставрополя». Всего на заседании присутствовало </w:t>
      </w:r>
      <w:r>
        <w:rPr>
          <w:rFonts w:ascii="Times New Roman" w:hAnsi="Times New Roman"/>
          <w:sz w:val="28"/>
        </w:rPr>
        <w:t xml:space="preserve">                       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% от общего количества членов комиссии. Кворум имеется, заседание правомочно. </w:t>
      </w:r>
    </w:p>
    <w:p w14:paraId="28000000">
      <w:pPr>
        <w:spacing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r>
        <w:rPr>
          <w:rFonts w:ascii="Times New Roman" w:hAnsi="Times New Roman"/>
          <w:sz w:val="28"/>
        </w:rPr>
        <w:t xml:space="preserve">Извещение о проведении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было размещено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официальном сайте Российской Федерации для размещения информации о проведении </w:t>
      </w: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ор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 xml:space="preserve">ов 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http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t>://torgi/gov.ru</w:t>
      </w:r>
      <w:r>
        <w:rPr>
          <w:rStyle w:val="Style_4_ch"/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сайте администрации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города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Ставрополя ставрополь.рф</w:t>
      </w:r>
      <w:r>
        <w:rPr>
          <w:rFonts w:ascii="Times New Roman" w:hAnsi="Times New Roman"/>
          <w:sz w:val="28"/>
        </w:rPr>
        <w:t xml:space="preserve">, опубликовано в газете «Вечерний Ставрополь»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ноября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2023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z w:val="28"/>
        </w:rPr>
        <w:t xml:space="preserve"> № 185</w:t>
      </w:r>
      <w:r>
        <w:rPr>
          <w:rFonts w:ascii="Times New Roman" w:hAnsi="Times New Roman"/>
          <w:sz w:val="28"/>
        </w:rPr>
        <w:t xml:space="preserve"> (7686-7687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 xml:space="preserve">, а также на сайте Единой электронной торговой площадки (АО «ЕЭТП»),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29000000">
      <w:pPr>
        <w:pStyle w:val="Style_6"/>
        <w:spacing w:after="0" w:line="240" w:lineRule="auto"/>
        <w:ind w:firstLine="0" w:left="709"/>
        <w:jc w:val="left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Лот 8.</w:t>
      </w:r>
    </w:p>
    <w:p w14:paraId="2A000000">
      <w:pPr>
        <w:pStyle w:val="Style_6"/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нежилые помещения, назначение: нежилое, помещения № 107 – 116, площадью 79,7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>, этаж: подвал, кадастровый номер  26:12:030211:1746, по адресу: Ставропольский край, город Ставрополь,  улица Ленина, 268.</w:t>
      </w:r>
    </w:p>
    <w:p w14:paraId="2B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зарегистрированы. </w:t>
      </w:r>
    </w:p>
    <w:p w14:paraId="2C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Сведения о предыдущих торгах по продаже такого имущества за год, предшествующий дню его продажи,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 </w:t>
      </w:r>
    </w:p>
    <w:p w14:paraId="2D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аукционы по продаже муниципального имущества, объявленные на 15.07.2022 (извещение № 21000004960000000018)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20.09.2022 (извещение                   </w:t>
      </w:r>
      <w:r>
        <w:rPr>
          <w:rFonts w:ascii="Times New Roman" w:hAnsi="Times New Roman"/>
          <w:sz w:val="28"/>
        </w:rPr>
        <w:t>№ 21000004960000000034</w:t>
      </w:r>
      <w:r>
        <w:rPr>
          <w:rFonts w:ascii="Times New Roman" w:hAnsi="Times New Roman"/>
          <w:sz w:val="28"/>
        </w:rPr>
        <w:t>),</w:t>
      </w:r>
      <w:r>
        <w:rPr>
          <w:rFonts w:ascii="Times New Roman" w:hAnsi="Times New Roman"/>
          <w:sz w:val="28"/>
        </w:rPr>
        <w:t xml:space="preserve"> 06.10.2023 (извещение №</w:t>
      </w:r>
      <w:r>
        <w:rPr>
          <w:rFonts w:ascii="Times New Roman" w:hAnsi="Times New Roman"/>
          <w:b w:val="0"/>
          <w:spacing w:val="-20"/>
          <w:sz w:val="28"/>
        </w:rPr>
        <w:t xml:space="preserve"> 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instrText>HYPERLINK "https://torgi.gov.ru/new/public/notices/view/21000004960000000084"</w:instrTex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t>21000004960000000085)</w:t>
      </w:r>
      <w:r>
        <w:rPr>
          <w:rFonts w:ascii="Times New Roman" w:hAnsi="Times New Roman"/>
          <w:b w:val="0"/>
          <w:i w:val="0"/>
          <w:caps w:val="0"/>
          <w:color w:val="000000"/>
          <w:spacing w:val="-2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 признаны несостоявшимися в связи с отсутствием заявок;</w:t>
      </w:r>
    </w:p>
    <w:p w14:paraId="2E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торги по продаже муниципального имущества посредством публичного предложения, объявленные на 26.01.2023 (извещение</w:t>
      </w:r>
      <w:r>
        <w:rPr>
          <w:rFonts w:ascii="Times New Roman" w:hAnsi="Times New Roman"/>
          <w:sz w:val="28"/>
        </w:rPr>
        <w:t xml:space="preserve">                                                      </w:t>
      </w:r>
      <w:r>
        <w:rPr>
          <w:rFonts w:ascii="Times New Roman" w:hAnsi="Times New Roman"/>
          <w:sz w:val="28"/>
        </w:rPr>
        <w:t>№ 21000004960000000054), признаны несостоявшимися в связи с отсутствием заявок.</w:t>
      </w:r>
    </w:p>
    <w:p w14:paraId="2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Цена первоначального предложения (начальная цена продажи)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 </w:t>
      </w:r>
      <w:r>
        <w:rPr>
          <w:rFonts w:ascii="Times New Roman" w:hAnsi="Times New Roman"/>
          <w:b w:val="1"/>
          <w:color w:themeColor="text1" w:val="000000"/>
          <w:sz w:val="28"/>
        </w:rPr>
        <w:t>с учетом НДС 20 %: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754 000 (Семьсот пятьдесят четыре тысячи) рублей 00 копеек. </w:t>
      </w:r>
    </w:p>
    <w:p w14:paraId="30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Сумма задатка: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75 400 (Семьдесят пять тысяч четыреста) рублей                     00 копеек. </w:t>
      </w:r>
    </w:p>
    <w:p w14:paraId="31000000">
      <w:pPr>
        <w:spacing w:after="0" w:line="240" w:lineRule="auto"/>
        <w:ind w:firstLine="708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снижения цены первоначального предложения («шаг понижения</w:t>
      </w:r>
      <w:r>
        <w:rPr>
          <w:rFonts w:ascii="Times New Roman" w:hAnsi="Times New Roman"/>
          <w:b w:val="1"/>
          <w:color w:themeColor="text1" w:val="000000"/>
          <w:sz w:val="28"/>
        </w:rPr>
        <w:t xml:space="preserve">): </w:t>
      </w:r>
      <w:r>
        <w:rPr>
          <w:rFonts w:ascii="Times New Roman" w:hAnsi="Times New Roman"/>
          <w:sz w:val="28"/>
        </w:rPr>
        <w:t xml:space="preserve">37 700 (Тридцать семь тысяч семьсот) рублей 00 копеек. </w:t>
      </w:r>
    </w:p>
    <w:p w14:paraId="32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Минимальная цена предложения («цена отсечения»):</w:t>
      </w:r>
      <w:r>
        <w:rPr>
          <w:rFonts w:ascii="Times New Roman" w:hAnsi="Times New Roman"/>
          <w:color w:themeColor="text1" w:val="000000"/>
          <w:sz w:val="28"/>
        </w:rPr>
        <w:t xml:space="preserve"> 377</w:t>
      </w:r>
      <w:r>
        <w:rPr>
          <w:rFonts w:ascii="Times New Roman" w:hAnsi="Times New Roman"/>
          <w:sz w:val="28"/>
        </w:rPr>
        <w:t> 000</w:t>
      </w:r>
      <w:r>
        <w:rPr>
          <w:rFonts w:ascii="Times New Roman" w:hAnsi="Times New Roman"/>
          <w:color w:themeColor="text1" w:val="000000"/>
          <w:sz w:val="28"/>
        </w:rPr>
        <w:t xml:space="preserve"> (</w:t>
      </w:r>
      <w:r>
        <w:rPr>
          <w:rFonts w:ascii="Times New Roman" w:hAnsi="Times New Roman"/>
          <w:color w:themeColor="text1" w:val="000000"/>
          <w:sz w:val="28"/>
        </w:rPr>
        <w:t xml:space="preserve">Триста семьдесят семь тысяч) рублей </w:t>
      </w:r>
      <w:r>
        <w:rPr>
          <w:rFonts w:ascii="Times New Roman" w:hAnsi="Times New Roman"/>
          <w:color w:themeColor="text1" w:val="000000"/>
          <w:sz w:val="28"/>
        </w:rPr>
        <w:t>00 копеек</w:t>
      </w:r>
    </w:p>
    <w:p w14:paraId="33000000">
      <w:pPr>
        <w:spacing w:after="0" w:line="240" w:lineRule="auto"/>
        <w:ind w:firstLine="708" w:left="0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b w:val="1"/>
          <w:color w:themeColor="text1" w:val="000000"/>
          <w:sz w:val="28"/>
        </w:rPr>
        <w:t>Величина повышения цены в случае перехода к проведению аукциона с повышением («шаг аукциона»):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18 850</w:t>
      </w:r>
      <w:r>
        <w:rPr>
          <w:rFonts w:ascii="Times New Roman" w:hAnsi="Times New Roman"/>
          <w:sz w:val="28"/>
        </w:rPr>
        <w:t xml:space="preserve"> (</w:t>
      </w:r>
      <w:r>
        <w:rPr>
          <w:rFonts w:ascii="Times New Roman" w:hAnsi="Times New Roman"/>
          <w:sz w:val="28"/>
        </w:rPr>
        <w:t>Восемнадцать тысяч восемьсот пятьдесят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color w:themeColor="text1" w:val="000000"/>
          <w:sz w:val="28"/>
        </w:rPr>
        <w:t xml:space="preserve"> рублей 00 копеек.</w:t>
      </w:r>
    </w:p>
    <w:p w14:paraId="34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p w14:paraId="35000000">
      <w:pPr>
        <w:pStyle w:val="Style_7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К участию в </w:t>
      </w:r>
      <w:r>
        <w:rPr>
          <w:rFonts w:ascii="Times New Roman" w:hAnsi="Times New Roman"/>
          <w:sz w:val="28"/>
        </w:rPr>
        <w:t>продаже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по </w:t>
      </w:r>
      <w:r>
        <w:rPr>
          <w:rFonts w:ascii="Times New Roman" w:hAnsi="Times New Roman"/>
          <w:b w:val="1"/>
          <w:color w:val="000000"/>
          <w:sz w:val="28"/>
        </w:rPr>
        <w:t>лоту № 8</w:t>
      </w:r>
      <w:r>
        <w:rPr>
          <w:sz w:val="28"/>
        </w:rPr>
        <w:t xml:space="preserve"> были допущены с</w:t>
      </w:r>
      <w:r>
        <w:rPr>
          <w:sz w:val="28"/>
        </w:rPr>
        <w:t>ледующие участники</w:t>
      </w:r>
      <w:r>
        <w:rPr>
          <w:sz w:val="28"/>
        </w:rPr>
        <w:t>:</w:t>
      </w:r>
    </w:p>
    <w:p w14:paraId="36000000">
      <w:pPr>
        <w:widowControl w:val="0"/>
        <w:spacing w:after="0" w:before="0" w:line="240" w:lineRule="auto"/>
        <w:ind w:firstLine="709" w:left="0"/>
        <w:jc w:val="both"/>
        <w:rPr>
          <w:rFonts w:ascii="Times New Roman" w:hAnsi="Times New Roman"/>
          <w:sz w:val="16"/>
        </w:rPr>
      </w:pPr>
    </w:p>
    <w:tbl>
      <w:tblPr>
        <w:tblStyle w:val="Style_5"/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3830"/>
        <w:gridCol w:w="5177"/>
      </w:tblGrid>
      <w:tr>
        <w:trPr>
          <w:trHeight w:hRule="atLeast" w:val="466"/>
        </w:trPr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Порядковый номер заявки</w:t>
            </w:r>
          </w:p>
        </w:tc>
        <w:tc>
          <w:tcPr>
            <w:tcW w:type="dxa" w:w="5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8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Наименование участника</w:t>
            </w:r>
          </w:p>
        </w:tc>
      </w:tr>
      <w:tr>
        <w:trPr>
          <w:trHeight w:hRule="atLeast" w:val="418"/>
        </w:trPr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9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563219 </w:t>
            </w:r>
          </w:p>
        </w:tc>
        <w:tc>
          <w:tcPr>
            <w:tcW w:type="dxa" w:w="5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A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Нестуля Светлана Алексеевна </w:t>
            </w:r>
          </w:p>
        </w:tc>
      </w:tr>
      <w:tr>
        <w:trPr>
          <w:trHeight w:hRule="atLeast" w:val="355"/>
        </w:trPr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B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956536 </w:t>
            </w:r>
          </w:p>
        </w:tc>
        <w:tc>
          <w:tcPr>
            <w:tcW w:type="dxa" w:w="5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C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Козлова Полина Валерьевна </w:t>
            </w:r>
          </w:p>
        </w:tc>
      </w:tr>
      <w:tr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D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148333 </w:t>
            </w:r>
          </w:p>
        </w:tc>
        <w:tc>
          <w:tcPr>
            <w:tcW w:type="dxa" w:w="5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E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Кузнецов Виктор Валентинович </w:t>
            </w:r>
          </w:p>
        </w:tc>
      </w:tr>
      <w:tr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3F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617738 </w:t>
            </w:r>
          </w:p>
        </w:tc>
        <w:tc>
          <w:tcPr>
            <w:tcW w:type="dxa" w:w="5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0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Борисенко Любовь Анатольевна </w:t>
            </w:r>
          </w:p>
        </w:tc>
      </w:tr>
      <w:tr>
        <w:tc>
          <w:tcPr>
            <w:tcW w:type="dxa" w:w="3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1000000">
            <w:pPr>
              <w:widowControl w:val="0"/>
              <w:spacing w:after="0" w:line="240" w:lineRule="auto"/>
              <w:ind w:firstLine="0" w:left="0"/>
              <w:jc w:val="center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414223 </w:t>
            </w:r>
          </w:p>
        </w:tc>
        <w:tc>
          <w:tcPr>
            <w:tcW w:type="dxa" w:w="51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  <w:vAlign w:val="top"/>
          </w:tcPr>
          <w:p w14:paraId="42000000">
            <w:pPr>
              <w:widowControl w:val="0"/>
              <w:spacing w:after="0" w:line="240" w:lineRule="auto"/>
              <w:ind w:firstLine="0" w:left="0"/>
              <w:jc w:val="left"/>
              <w:rPr>
                <w:rFonts w:ascii="Times New Roman" w:hAnsi="Times New Roman"/>
                <w:b w:val="0"/>
                <w:sz w:val="26"/>
              </w:rPr>
            </w:pPr>
            <w:r>
              <w:rPr>
                <w:rFonts w:ascii="Times New Roman" w:hAnsi="Times New Roman"/>
                <w:b w:val="0"/>
                <w:sz w:val="26"/>
              </w:rPr>
              <w:t xml:space="preserve"> Борисенко Ярослав Юрьевич </w:t>
            </w:r>
          </w:p>
        </w:tc>
      </w:tr>
    </w:tbl>
    <w:p w14:paraId="43000000">
      <w:pPr>
        <w:pStyle w:val="Style_6"/>
        <w:spacing w:line="240" w:lineRule="auto"/>
        <w:ind w:firstLine="0" w:left="709"/>
        <w:jc w:val="left"/>
        <w:rPr>
          <w:rFonts w:ascii="Times New Roman" w:hAnsi="Times New Roman"/>
          <w:b w:val="1"/>
          <w:sz w:val="16"/>
        </w:rPr>
      </w:pPr>
    </w:p>
    <w:p w14:paraId="44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5. Победителем продажи имущества посредством публичного предложения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 xml:space="preserve">лоту № 5 </w:t>
      </w:r>
      <w:r>
        <w:rPr>
          <w:rFonts w:ascii="Times New Roman" w:hAnsi="Times New Roman"/>
          <w:b w:val="1"/>
          <w:color w:val="000000"/>
          <w:sz w:val="28"/>
        </w:rPr>
        <w:t xml:space="preserve">признан </w:t>
      </w:r>
      <w:r>
        <w:rPr>
          <w:rFonts w:ascii="Times New Roman" w:hAnsi="Times New Roman"/>
          <w:b w:val="1"/>
          <w:color w:val="000000"/>
          <w:sz w:val="28"/>
        </w:rPr>
        <w:t>Борисенко Ярослав Юрьевич,</w:t>
      </w:r>
      <w:r>
        <w:rPr>
          <w:rFonts w:ascii="Times New Roman" w:hAnsi="Times New Roman"/>
          <w:b w:val="1"/>
          <w:color w:val="000000"/>
          <w:sz w:val="28"/>
        </w:rPr>
        <w:t xml:space="preserve">                   преложивший </w:t>
      </w:r>
      <w:r>
        <w:rPr>
          <w:rFonts w:ascii="Times New Roman" w:hAnsi="Times New Roman"/>
          <w:b w:val="1"/>
          <w:color w:val="000000"/>
          <w:sz w:val="28"/>
        </w:rPr>
        <w:t xml:space="preserve">565 500,00 (пятьсот шестьдесят пять тысяч пятьсот рублей) 00 копеек </w:t>
      </w:r>
      <w:r>
        <w:rPr>
          <w:rFonts w:ascii="Times New Roman" w:hAnsi="Times New Roman"/>
          <w:b w:val="1"/>
          <w:color w:val="000000"/>
          <w:sz w:val="28"/>
        </w:rPr>
        <w:t>с учетом НДС 20%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b w:val="1"/>
          <w:color w:val="000000"/>
          <w:sz w:val="28"/>
        </w:rPr>
        <w:t>.</w:t>
      </w:r>
    </w:p>
    <w:p w14:paraId="45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sz w:val="28"/>
        </w:rPr>
        <w:t xml:space="preserve">Участником, сделавшим предпоследнее предложение о цене имущества в размере </w:t>
      </w:r>
      <w:r>
        <w:rPr>
          <w:rFonts w:ascii="Times New Roman" w:hAnsi="Times New Roman"/>
          <w:b w:val="0"/>
          <w:sz w:val="28"/>
        </w:rPr>
        <w:t xml:space="preserve">546 650,00 (пятьсот сорок шесть тысяч шестьсот пятьдесят) рублей 00 копеек </w:t>
      </w:r>
      <w:r>
        <w:rPr>
          <w:rFonts w:ascii="Times New Roman" w:hAnsi="Times New Roman"/>
          <w:sz w:val="28"/>
        </w:rPr>
        <w:t>с учетом НДС</w:t>
      </w:r>
      <w:bookmarkStart w:id="1" w:name="_GoBack"/>
      <w:bookmarkEnd w:id="1"/>
      <w:r>
        <w:rPr>
          <w:rFonts w:ascii="Times New Roman" w:hAnsi="Times New Roman"/>
          <w:sz w:val="28"/>
        </w:rPr>
        <w:t xml:space="preserve"> 20 % ст</w:t>
      </w:r>
      <w:r>
        <w:rPr>
          <w:rFonts w:ascii="Times New Roman" w:hAnsi="Times New Roman"/>
          <w:b w:val="0"/>
          <w:sz w:val="28"/>
        </w:rPr>
        <w:t>ал</w:t>
      </w:r>
      <w:r>
        <w:rPr>
          <w:rFonts w:ascii="Times New Roman" w:hAnsi="Times New Roman"/>
          <w:b w:val="0"/>
          <w:sz w:val="28"/>
        </w:rPr>
        <w:t xml:space="preserve">а </w:t>
      </w:r>
      <w:r>
        <w:rPr>
          <w:rFonts w:ascii="Times New Roman" w:hAnsi="Times New Roman"/>
          <w:b w:val="0"/>
          <w:sz w:val="28"/>
        </w:rPr>
        <w:t>Козлова Полина Валерьевна</w:t>
      </w:r>
      <w:r>
        <w:rPr>
          <w:rFonts w:ascii="Times New Roman" w:hAnsi="Times New Roman"/>
          <w:b w:val="1"/>
          <w:sz w:val="28"/>
        </w:rPr>
        <w:t>.</w:t>
      </w:r>
    </w:p>
    <w:p w14:paraId="46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 xml:space="preserve">Протокол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является документом, удостоверяющим право победителя на заключение договора купли-продажи.</w:t>
      </w:r>
    </w:p>
    <w:p w14:paraId="47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. В течение пяти рабочих дней с даты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с победителем </w:t>
      </w:r>
      <w:r>
        <w:rPr>
          <w:rFonts w:ascii="Times New Roman" w:hAnsi="Times New Roman"/>
          <w:sz w:val="28"/>
        </w:rPr>
        <w:t>заключается договор купли-продажи имущества.</w:t>
      </w:r>
    </w:p>
    <w:p w14:paraId="48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от заключения в установленный срок договора купли-продажи результаты </w:t>
      </w:r>
      <w:r>
        <w:rPr>
          <w:rFonts w:ascii="Times New Roman" w:hAnsi="Times New Roman"/>
          <w:sz w:val="28"/>
        </w:rPr>
        <w:t xml:space="preserve">продажи имущества посредством публичного предложения </w:t>
      </w:r>
      <w:r>
        <w:rPr>
          <w:rFonts w:ascii="Times New Roman" w:hAnsi="Times New Roman"/>
          <w:sz w:val="28"/>
        </w:rPr>
        <w:t xml:space="preserve">аннулируются организатором торгов. При этом победитель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9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</w:t>
      </w:r>
      <w:r>
        <w:rPr>
          <w:rFonts w:ascii="Times New Roman" w:hAnsi="Times New Roman"/>
          <w:sz w:val="28"/>
        </w:rPr>
        <w:t>продажи имущества посредством публичного предложения</w:t>
      </w:r>
      <w:r>
        <w:rPr>
          <w:rFonts w:ascii="Times New Roman" w:hAnsi="Times New Roman"/>
          <w:sz w:val="28"/>
        </w:rPr>
        <w:t xml:space="preserve"> будет размещен на сайте Единой электронной торговой площадки,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4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4B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1"/>
        <w:gridCol w:w="4785"/>
      </w:tblGrid>
      <w:tr>
        <w:trPr>
          <w:trHeight w:hRule="atLeast" w:val="1914"/>
        </w:trPr>
        <w:tc>
          <w:tcPr>
            <w:tcW w:type="dxa" w:w="4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D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Н.В. Бенедюк __________________</w:t>
            </w:r>
          </w:p>
          <w:p w14:paraId="4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51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2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</w:t>
            </w:r>
          </w:p>
        </w:tc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С.В. Холод ______________________</w:t>
            </w:r>
          </w:p>
        </w:tc>
      </w:tr>
    </w:tbl>
    <w:p w14:paraId="59000000"/>
    <w:p w14:paraId="5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B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1134" w:footer="720" w:gutter="0" w:header="720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8" w:type="paragraph">
    <w:name w:val="toc 2"/>
    <w:next w:val="Style_6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6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" w:type="paragraph">
    <w:name w:val="page number"/>
    <w:basedOn w:val="Style_10"/>
    <w:link w:val="Style_1_ch"/>
  </w:style>
  <w:style w:styleId="Style_1_ch" w:type="character">
    <w:name w:val="page number"/>
    <w:basedOn w:val="Style_10_ch"/>
    <w:link w:val="Style_1"/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footer"/>
    <w:basedOn w:val="Style_6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3_ch" w:type="character">
    <w:name w:val="footer"/>
    <w:basedOn w:val="Style_6_ch"/>
    <w:link w:val="Style_13"/>
  </w:style>
  <w:style w:styleId="Style_14" w:type="paragraph">
    <w:name w:val="End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Endnote"/>
    <w:link w:val="Style_14"/>
    <w:rPr>
      <w:rFonts w:ascii="XO Thames" w:hAnsi="XO Thames"/>
      <w:sz w:val="22"/>
    </w:rPr>
  </w:style>
  <w:style w:styleId="Style_15" w:type="paragraph">
    <w:name w:val="heading 3"/>
    <w:next w:val="Style_6"/>
    <w:link w:val="Style_15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5_ch" w:type="character">
    <w:name w:val="heading 3"/>
    <w:link w:val="Style_15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6" w:type="paragraph">
    <w:name w:val="Plain Text"/>
    <w:basedOn w:val="Style_6"/>
    <w:link w:val="Style_16_ch"/>
    <w:pPr>
      <w:spacing w:after="0" w:line="240" w:lineRule="auto"/>
      <w:ind/>
    </w:pPr>
    <w:rPr>
      <w:rFonts w:ascii="Calibri" w:hAnsi="Calibri"/>
    </w:rPr>
  </w:style>
  <w:style w:styleId="Style_16_ch" w:type="character">
    <w:name w:val="Plain Text"/>
    <w:basedOn w:val="Style_6_ch"/>
    <w:link w:val="Style_16"/>
    <w:rPr>
      <w:rFonts w:ascii="Calibri" w:hAnsi="Calibri"/>
    </w:rPr>
  </w:style>
  <w:style w:styleId="Style_3" w:type="paragraph">
    <w:name w:val="Body Text"/>
    <w:basedOn w:val="Style_6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6_ch"/>
    <w:link w:val="Style_3"/>
    <w:rPr>
      <w:rFonts w:ascii="Times New Roman" w:hAnsi="Times New Roman"/>
      <w:sz w:val="24"/>
    </w:rPr>
  </w:style>
  <w:style w:styleId="Style_17" w:type="paragraph">
    <w:name w:val="toc 3"/>
    <w:next w:val="Style_6"/>
    <w:link w:val="Style_1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7_ch" w:type="character">
    <w:name w:val="toc 3"/>
    <w:link w:val="Style_17"/>
    <w:rPr>
      <w:rFonts w:ascii="XO Thames" w:hAnsi="XO Thames"/>
      <w:sz w:val="28"/>
    </w:rPr>
  </w:style>
  <w:style w:styleId="Style_7" w:type="paragraph">
    <w:name w:val="western"/>
    <w:basedOn w:val="Style_6"/>
    <w:link w:val="Style_7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7_ch" w:type="character">
    <w:name w:val="western"/>
    <w:basedOn w:val="Style_6_ch"/>
    <w:link w:val="Style_7"/>
    <w:rPr>
      <w:rFonts w:ascii="Times New Roman" w:hAnsi="Times New Roman"/>
      <w:sz w:val="24"/>
    </w:rPr>
  </w:style>
  <w:style w:styleId="Style_18" w:type="paragraph">
    <w:name w:val="List Paragraph"/>
    <w:basedOn w:val="Style_6"/>
    <w:link w:val="Style_18_ch"/>
    <w:pPr>
      <w:ind w:firstLine="0" w:left="720"/>
      <w:contextualSpacing w:val="1"/>
    </w:pPr>
  </w:style>
  <w:style w:styleId="Style_18_ch" w:type="character">
    <w:name w:val="List Paragraph"/>
    <w:basedOn w:val="Style_6_ch"/>
    <w:link w:val="Style_18"/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6_ch"/>
    <w:link w:val="Style_2"/>
    <w:rPr>
      <w:rFonts w:ascii="Times New Roman" w:hAnsi="Times New Roman"/>
      <w:sz w:val="28"/>
    </w:rPr>
  </w:style>
  <w:style w:styleId="Style_19" w:type="paragraph">
    <w:name w:val="heading 5"/>
    <w:next w:val="Style_6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9_ch" w:type="character">
    <w:name w:val="heading 5"/>
    <w:link w:val="Style_19"/>
    <w:rPr>
      <w:rFonts w:ascii="XO Thames" w:hAnsi="XO Thames"/>
      <w:b w:val="1"/>
      <w:sz w:val="22"/>
    </w:rPr>
  </w:style>
  <w:style w:styleId="Style_20" w:type="paragraph">
    <w:name w:val="heading 1"/>
    <w:next w:val="Style_6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0"/>
    </w:rPr>
  </w:style>
  <w:style w:styleId="Style_23_ch" w:type="character">
    <w:name w:val="Header and Footer"/>
    <w:link w:val="Style_23"/>
    <w:rPr>
      <w:rFonts w:ascii="XO Thames" w:hAnsi="XO Thames"/>
      <w:sz w:val="20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Balloon Text"/>
    <w:basedOn w:val="Style_6"/>
    <w:link w:val="Style_27_ch"/>
    <w:pPr>
      <w:spacing w:after="0" w:line="240" w:lineRule="auto"/>
      <w:ind/>
    </w:pPr>
    <w:rPr>
      <w:rFonts w:ascii="Segoe UI" w:hAnsi="Segoe UI"/>
      <w:sz w:val="18"/>
    </w:rPr>
  </w:style>
  <w:style w:styleId="Style_27_ch" w:type="character">
    <w:name w:val="Balloon Text"/>
    <w:basedOn w:val="Style_6_ch"/>
    <w:link w:val="Style_27"/>
    <w:rPr>
      <w:rFonts w:ascii="Segoe UI" w:hAnsi="Segoe UI"/>
      <w:sz w:val="18"/>
    </w:rPr>
  </w:style>
  <w:style w:styleId="Style_28" w:type="paragraph">
    <w:name w:val="Subtitle"/>
    <w:next w:val="Style_6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6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6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31" w:type="paragraph">
    <w:name w:val="heading 2"/>
    <w:next w:val="Style_6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2024-01-16T11:27:21Z</dcterms:modified>
</cp:coreProperties>
</file>