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F5" w:rsidRPr="008465F5" w:rsidRDefault="008465F5" w:rsidP="008465F5">
      <w:pPr>
        <w:pStyle w:val="af2"/>
      </w:pPr>
      <w:r w:rsidRPr="008465F5">
        <w:t>П О С Т А Н О В Л Е Н И Е</w:t>
      </w:r>
    </w:p>
    <w:p w:rsidR="008465F5" w:rsidRPr="008465F5" w:rsidRDefault="008465F5" w:rsidP="008465F5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465F5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8465F5" w:rsidRPr="008465F5" w:rsidRDefault="008465F5" w:rsidP="008465F5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8465F5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8465F5" w:rsidRPr="008465F5" w:rsidRDefault="008465F5" w:rsidP="008465F5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8465F5" w:rsidRPr="008465F5" w:rsidRDefault="008465F5" w:rsidP="008465F5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23</w:t>
      </w:r>
      <w:r w:rsidRPr="008465F5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12</w:t>
      </w:r>
      <w:r w:rsidRPr="008465F5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6</w:t>
      </w:r>
      <w:r w:rsidRPr="008465F5">
        <w:rPr>
          <w:rFonts w:ascii="Times New Roman" w:eastAsia="Arial Unicode MS" w:hAnsi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2892</w:t>
      </w:r>
      <w:r w:rsidRPr="008465F5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</w:rPr>
        <w:t xml:space="preserve">Об утверждении </w:t>
      </w:r>
      <w:r w:rsidR="000D5262" w:rsidRPr="000D5262">
        <w:rPr>
          <w:rFonts w:ascii="Times New Roman" w:hAnsi="Times New Roman"/>
          <w:sz w:val="28"/>
          <w:szCs w:val="28"/>
        </w:rPr>
        <w:t xml:space="preserve">бюджетного прогноза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2022 года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0D5262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0D5262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D52F09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1.</w:t>
      </w:r>
      <w:r w:rsidR="00234DB2" w:rsidRPr="000D5262">
        <w:rPr>
          <w:rFonts w:ascii="Times New Roman" w:hAnsi="Times New Roman"/>
          <w:sz w:val="28"/>
          <w:szCs w:val="28"/>
        </w:rPr>
        <w:t> </w:t>
      </w:r>
      <w:r w:rsidR="00C43BF0" w:rsidRPr="000D5262">
        <w:rPr>
          <w:rFonts w:ascii="Times New Roman" w:hAnsi="Times New Roman"/>
          <w:sz w:val="28"/>
        </w:rPr>
        <w:t xml:space="preserve">Утвердить </w:t>
      </w:r>
      <w:r w:rsidR="000D5262" w:rsidRPr="000D5262">
        <w:rPr>
          <w:rFonts w:ascii="Times New Roman" w:hAnsi="Times New Roman"/>
          <w:sz w:val="28"/>
          <w:szCs w:val="28"/>
        </w:rPr>
        <w:t xml:space="preserve">бюджетный прогноз муниципального образования города Ставрополя Ставропольского края на период до 2022 года </w:t>
      </w:r>
      <w:r w:rsidR="006607FD" w:rsidRPr="000D5262">
        <w:rPr>
          <w:rFonts w:ascii="Times New Roman" w:hAnsi="Times New Roman"/>
          <w:sz w:val="28"/>
        </w:rPr>
        <w:t>согласно приложению</w:t>
      </w:r>
      <w:r w:rsidR="00C43BF0" w:rsidRPr="000D5262">
        <w:rPr>
          <w:rFonts w:ascii="Times New Roman" w:hAnsi="Times New Roman"/>
          <w:sz w:val="28"/>
        </w:rPr>
        <w:t>.</w:t>
      </w:r>
    </w:p>
    <w:p w:rsidR="00A64188" w:rsidRPr="000D5262" w:rsidRDefault="000B2065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</w:t>
      </w:r>
      <w:r w:rsidR="00A64188" w:rsidRPr="000D5262">
        <w:rPr>
          <w:rFonts w:ascii="Times New Roman" w:hAnsi="Times New Roman"/>
          <w:sz w:val="28"/>
          <w:szCs w:val="28"/>
          <w:lang w:eastAsia="ru-RU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 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Толбатова А.В.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BF0" w:rsidRPr="000D5262" w:rsidRDefault="00901BB5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 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 </w:t>
      </w:r>
      <w:r w:rsidRPr="000D5262">
        <w:rPr>
          <w:rFonts w:ascii="Times New Roman" w:hAnsi="Times New Roman"/>
          <w:sz w:val="28"/>
          <w:szCs w:val="28"/>
        </w:rPr>
        <w:t xml:space="preserve">     А.Х. Джатдоев</w:t>
      </w:r>
    </w:p>
    <w:p w:rsidR="00750A25" w:rsidRPr="000D5262" w:rsidRDefault="00750A25" w:rsidP="00B216EB">
      <w:pPr>
        <w:widowControl w:val="0"/>
      </w:pPr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9606" w:type="dxa"/>
        <w:tblLook w:val="04A0"/>
      </w:tblPr>
      <w:tblGrid>
        <w:gridCol w:w="2660"/>
        <w:gridCol w:w="6946"/>
      </w:tblGrid>
      <w:tr w:rsidR="007F5AEA" w:rsidRPr="00413EA7" w:rsidTr="009A2162">
        <w:tc>
          <w:tcPr>
            <w:tcW w:w="2660" w:type="dxa"/>
          </w:tcPr>
          <w:p w:rsidR="007F5AEA" w:rsidRPr="00413EA7" w:rsidRDefault="007F5AEA" w:rsidP="00B216EB">
            <w:pPr>
              <w:widowControl w:val="0"/>
              <w:spacing w:after="0" w:line="24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F5AEA" w:rsidRPr="00413EA7" w:rsidRDefault="007F5AEA" w:rsidP="00B216EB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413EA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F5AEA" w:rsidRPr="00413EA7" w:rsidRDefault="007F5AEA" w:rsidP="00B216EB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</w:p>
          <w:p w:rsidR="007F5AEA" w:rsidRPr="00413EA7" w:rsidRDefault="007F5AEA" w:rsidP="00B216EB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413EA7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7F5AEA" w:rsidRPr="00413EA7" w:rsidRDefault="007F5AEA" w:rsidP="00B216EB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413EA7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  <w:p w:rsidR="007F5AEA" w:rsidRPr="00413EA7" w:rsidRDefault="007F5AEA" w:rsidP="008465F5">
            <w:pPr>
              <w:widowControl w:val="0"/>
              <w:spacing w:after="0" w:line="240" w:lineRule="exact"/>
              <w:ind w:left="2585"/>
              <w:rPr>
                <w:rFonts w:ascii="Times New Roman" w:hAnsi="Times New Roman"/>
                <w:sz w:val="28"/>
                <w:szCs w:val="28"/>
              </w:rPr>
            </w:pPr>
            <w:r w:rsidRPr="00413EA7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 w:rsidR="008465F5">
              <w:rPr>
                <w:rFonts w:ascii="Times New Roman" w:hAnsi="Times New Roman"/>
                <w:sz w:val="28"/>
                <w:szCs w:val="28"/>
              </w:rPr>
              <w:t>23.12.2016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13EA7">
              <w:rPr>
                <w:rFonts w:ascii="Times New Roman" w:hAnsi="Times New Roman"/>
                <w:sz w:val="28"/>
                <w:szCs w:val="28"/>
              </w:rPr>
              <w:t>№</w:t>
            </w:r>
            <w:r w:rsidR="008465F5">
              <w:rPr>
                <w:rFonts w:ascii="Times New Roman" w:hAnsi="Times New Roman"/>
                <w:sz w:val="28"/>
                <w:szCs w:val="28"/>
              </w:rPr>
              <w:t xml:space="preserve"> 2892</w:t>
            </w:r>
          </w:p>
        </w:tc>
      </w:tr>
    </w:tbl>
    <w:p w:rsidR="007F5AEA" w:rsidRPr="009E7575" w:rsidRDefault="007F5AEA" w:rsidP="00B216EB">
      <w:pPr>
        <w:widowControl w:val="0"/>
        <w:shd w:val="clear" w:color="auto" w:fill="FFFFFF"/>
        <w:tabs>
          <w:tab w:val="left" w:pos="851"/>
        </w:tabs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pacing w:val="-2"/>
          <w:sz w:val="28"/>
          <w:szCs w:val="28"/>
          <w:highlight w:val="yellow"/>
        </w:rPr>
      </w:pPr>
    </w:p>
    <w:p w:rsidR="007F5AEA" w:rsidRDefault="007F5AEA" w:rsidP="00B216E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</w:t>
      </w:r>
    </w:p>
    <w:p w:rsidR="007F5AEA" w:rsidRDefault="007F5AEA" w:rsidP="00B216EB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муниципального образования города Ставрополя</w:t>
      </w:r>
    </w:p>
    <w:p w:rsidR="007F5AEA" w:rsidRPr="000D5262" w:rsidRDefault="007F5AEA" w:rsidP="00B216EB">
      <w:pPr>
        <w:widowControl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  <w:szCs w:val="28"/>
        </w:rPr>
        <w:t>Ставропольского края на период до 2022 года</w:t>
      </w:r>
    </w:p>
    <w:p w:rsidR="007F5AEA" w:rsidRDefault="007F5AEA" w:rsidP="00B216EB">
      <w:pPr>
        <w:widowControl w:val="0"/>
      </w:pPr>
    </w:p>
    <w:p w:rsidR="00782E29" w:rsidRDefault="00782E29" w:rsidP="00B216EB">
      <w:pPr>
        <w:pStyle w:val="ConsPlusNormal"/>
        <w:widowControl w:val="0"/>
        <w:ind w:firstLine="709"/>
        <w:jc w:val="both"/>
      </w:pPr>
      <w:r>
        <w:t>Б</w:t>
      </w:r>
      <w:r w:rsidRPr="000D5262">
        <w:t xml:space="preserve">юджетный прогноз муниципального образования города Ставрополя Ставропольского края на период до 2022 года </w:t>
      </w:r>
      <w:r>
        <w:t xml:space="preserve">(далее – </w:t>
      </w:r>
      <w:r w:rsidR="006146D1">
        <w:t>б</w:t>
      </w:r>
      <w:r>
        <w:t>юджетный прогноз города Ставрополя) разработан</w:t>
      </w:r>
      <w:r w:rsidR="00CB4F24">
        <w:t xml:space="preserve"> в соответствии со статьей 170.1 Бюджетного кодекса Российской Федерации, </w:t>
      </w:r>
      <w:r w:rsidR="003F3889">
        <w:t xml:space="preserve">статьей 11 </w:t>
      </w:r>
      <w:r w:rsidR="006153CB">
        <w:t>Ф</w:t>
      </w:r>
      <w:r w:rsidR="0066070F" w:rsidRPr="000D5262">
        <w:t>едеральн</w:t>
      </w:r>
      <w:r w:rsidR="003F3889">
        <w:t>ого</w:t>
      </w:r>
      <w:r w:rsidR="0066070F" w:rsidRPr="000D5262">
        <w:t xml:space="preserve"> закон</w:t>
      </w:r>
      <w:r w:rsidR="003F3889">
        <w:t>а</w:t>
      </w:r>
      <w:r w:rsidR="0066070F" w:rsidRPr="000D5262">
        <w:t xml:space="preserve"> от 28 июня 2014 г. №</w:t>
      </w:r>
      <w:r w:rsidR="0066070F">
        <w:t> </w:t>
      </w:r>
      <w:r w:rsidR="0066070F" w:rsidRPr="000D5262">
        <w:t>172-ФЗ «О стратегическом планировании в Российской Федерации»</w:t>
      </w:r>
      <w:r w:rsidR="0066070F">
        <w:t xml:space="preserve">, </w:t>
      </w:r>
      <w:r w:rsidR="00CB4F24">
        <w:t>статьей</w:t>
      </w:r>
      <w:r w:rsidR="0066070F">
        <w:t> </w:t>
      </w:r>
      <w:r w:rsidR="00CB4F24">
        <w:t xml:space="preserve">7 </w:t>
      </w:r>
      <w:r w:rsidR="00CB4F24" w:rsidRPr="00782E29">
        <w:t>Положени</w:t>
      </w:r>
      <w:r w:rsidR="00CB4F24">
        <w:t>я</w:t>
      </w:r>
      <w:r w:rsidR="00CB4F24" w:rsidRPr="00782E29">
        <w:t xml:space="preserve"> о бюджетном процессе в городе Ставрополе, утвержденн</w:t>
      </w:r>
      <w:r w:rsidR="00CB4F24">
        <w:t>ого</w:t>
      </w:r>
      <w:r w:rsidR="00CB4F24" w:rsidRPr="00782E29">
        <w:t xml:space="preserve"> решением Ставропольской городской Думы от 28 сентября 2005 года № 117</w:t>
      </w:r>
      <w:r w:rsidR="006146D1">
        <w:t>,</w:t>
      </w:r>
      <w:r w:rsidR="00CB4F24">
        <w:t xml:space="preserve"> и Порядком разработки и утверждения бюджетного прогноза муниципального образования </w:t>
      </w:r>
      <w:r w:rsidR="00CB4F24" w:rsidRPr="000D5262">
        <w:t xml:space="preserve">города Ставрополя Ставропольского края на </w:t>
      </w:r>
      <w:r w:rsidR="00CB4F24">
        <w:t>долгосрочный период, утвержденным постановлением администрации города Ставрополя от 06.08.2015 № 1746.</w:t>
      </w:r>
    </w:p>
    <w:p w:rsidR="00F27DB6" w:rsidRDefault="00D10D95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разработки бюджетного прогноза </w:t>
      </w:r>
      <w:r w:rsidR="00417B0E">
        <w:rPr>
          <w:rFonts w:ascii="Times New Roman" w:hAnsi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/>
          <w:sz w:val="28"/>
          <w:szCs w:val="28"/>
        </w:rPr>
        <w:t>является оценка основных бюджетных параметров на долго</w:t>
      </w:r>
      <w:r w:rsidR="00AA60C7">
        <w:rPr>
          <w:rFonts w:ascii="Times New Roman" w:hAnsi="Times New Roman"/>
          <w:sz w:val="28"/>
          <w:szCs w:val="28"/>
        </w:rPr>
        <w:t>срочную перспективу, определение</w:t>
      </w:r>
      <w:r>
        <w:rPr>
          <w:rFonts w:ascii="Times New Roman" w:hAnsi="Times New Roman"/>
          <w:sz w:val="28"/>
          <w:szCs w:val="28"/>
        </w:rPr>
        <w:t xml:space="preserve">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</w:t>
      </w:r>
      <w:r w:rsidR="00417B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выработк</w:t>
      </w:r>
      <w:r w:rsidR="000D65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механизма их минимизации.</w:t>
      </w:r>
    </w:p>
    <w:p w:rsidR="00F27DB6" w:rsidRDefault="00F27DB6" w:rsidP="00B216EB">
      <w:pPr>
        <w:pStyle w:val="ConsPlusNormal"/>
        <w:widowControl w:val="0"/>
        <w:ind w:firstLine="709"/>
        <w:jc w:val="both"/>
      </w:pPr>
    </w:p>
    <w:p w:rsidR="003F3889" w:rsidRPr="003F3889" w:rsidRDefault="003F3889" w:rsidP="00B216EB">
      <w:pPr>
        <w:pStyle w:val="af1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889">
        <w:rPr>
          <w:rFonts w:ascii="Times New Roman" w:hAnsi="Times New Roman"/>
          <w:sz w:val="28"/>
          <w:szCs w:val="28"/>
        </w:rPr>
        <w:t>Основные итоги р</w:t>
      </w:r>
      <w:r w:rsidR="00D10D95">
        <w:rPr>
          <w:rFonts w:ascii="Times New Roman" w:hAnsi="Times New Roman"/>
          <w:sz w:val="28"/>
          <w:szCs w:val="28"/>
        </w:rPr>
        <w:t>еализации</w:t>
      </w:r>
      <w:r w:rsidRPr="003F3889">
        <w:rPr>
          <w:rFonts w:ascii="Times New Roman" w:hAnsi="Times New Roman"/>
          <w:sz w:val="28"/>
          <w:szCs w:val="28"/>
        </w:rPr>
        <w:t xml:space="preserve"> бюджетной</w:t>
      </w:r>
      <w:r w:rsidR="00D10D95">
        <w:rPr>
          <w:rFonts w:ascii="Times New Roman" w:hAnsi="Times New Roman"/>
          <w:sz w:val="28"/>
          <w:szCs w:val="28"/>
        </w:rPr>
        <w:t xml:space="preserve"> политики</w:t>
      </w:r>
      <w:r w:rsidRPr="003F3889">
        <w:rPr>
          <w:rFonts w:ascii="Times New Roman" w:hAnsi="Times New Roman"/>
          <w:sz w:val="28"/>
          <w:szCs w:val="28"/>
        </w:rPr>
        <w:t xml:space="preserve"> города Ставрополя, условия формирования бюджетного прогноза</w:t>
      </w:r>
      <w:r w:rsidR="006146D1">
        <w:rPr>
          <w:rFonts w:ascii="Times New Roman" w:hAnsi="Times New Roman"/>
          <w:sz w:val="28"/>
          <w:szCs w:val="28"/>
        </w:rPr>
        <w:t xml:space="preserve"> </w:t>
      </w:r>
      <w:r w:rsidR="00D10D95">
        <w:rPr>
          <w:rFonts w:ascii="Times New Roman" w:hAnsi="Times New Roman"/>
          <w:sz w:val="28"/>
          <w:szCs w:val="28"/>
        </w:rPr>
        <w:t xml:space="preserve">              </w:t>
      </w:r>
      <w:r w:rsidR="006146D1">
        <w:rPr>
          <w:rFonts w:ascii="Times New Roman" w:hAnsi="Times New Roman"/>
          <w:sz w:val="28"/>
          <w:szCs w:val="28"/>
        </w:rPr>
        <w:t>города Ставрополя</w:t>
      </w:r>
      <w:r w:rsidRPr="003F3889">
        <w:rPr>
          <w:rFonts w:ascii="Times New Roman" w:hAnsi="Times New Roman"/>
          <w:sz w:val="28"/>
          <w:szCs w:val="28"/>
        </w:rPr>
        <w:t xml:space="preserve"> в текущем </w:t>
      </w:r>
      <w:r w:rsidR="007451D8">
        <w:rPr>
          <w:rFonts w:ascii="Times New Roman" w:hAnsi="Times New Roman"/>
          <w:sz w:val="28"/>
          <w:szCs w:val="28"/>
        </w:rPr>
        <w:t xml:space="preserve">финансовом </w:t>
      </w:r>
      <w:r w:rsidRPr="003F3889">
        <w:rPr>
          <w:rFonts w:ascii="Times New Roman" w:hAnsi="Times New Roman"/>
          <w:sz w:val="28"/>
          <w:szCs w:val="28"/>
        </w:rPr>
        <w:t>году</w:t>
      </w:r>
    </w:p>
    <w:p w:rsidR="0081495E" w:rsidRDefault="0081495E" w:rsidP="00B216EB">
      <w:pPr>
        <w:pStyle w:val="ConsPlusNormal"/>
        <w:widowControl w:val="0"/>
        <w:ind w:firstLine="709"/>
        <w:jc w:val="both"/>
      </w:pPr>
    </w:p>
    <w:p w:rsidR="004C50F7" w:rsidRDefault="0023633D" w:rsidP="00B216EB">
      <w:pPr>
        <w:pStyle w:val="ConsPlusNormal"/>
        <w:widowControl w:val="0"/>
        <w:ind w:firstLine="709"/>
        <w:jc w:val="both"/>
      </w:pPr>
      <w:r w:rsidRPr="0023633D">
        <w:t xml:space="preserve">Начиная </w:t>
      </w:r>
      <w:r w:rsidR="00497ADA" w:rsidRPr="0023633D">
        <w:t>с 201</w:t>
      </w:r>
      <w:r w:rsidRPr="0023633D">
        <w:t>0</w:t>
      </w:r>
      <w:r w:rsidR="00497ADA" w:rsidRPr="0023633D">
        <w:t xml:space="preserve"> года</w:t>
      </w:r>
      <w:r w:rsidR="004C50F7" w:rsidRPr="0023633D">
        <w:t xml:space="preserve"> </w:t>
      </w:r>
      <w:r w:rsidR="004C50F7">
        <w:t>в городе Ставрополе осуществлен ряд мероприятий, направленных на повышение качества управления муниципальными финансами, в том числе:</w:t>
      </w:r>
    </w:p>
    <w:p w:rsidR="004C50F7" w:rsidRDefault="004C50F7" w:rsidP="00B216EB">
      <w:pPr>
        <w:pStyle w:val="ConsPlusNormal"/>
        <w:widowControl w:val="0"/>
        <w:ind w:firstLine="709"/>
        <w:jc w:val="both"/>
      </w:pPr>
      <w:r>
        <w:t>сформирована качественно новая сеть муниципальных учреждений путем изменения правового положения бюджетных учреждений, в результате чего осуществлен окончательный переход от сметного финансирования муниципальных учреждений к финансированию на выполнение муниципальных заданий на предоставление муниципальных услуг;</w:t>
      </w:r>
    </w:p>
    <w:p w:rsidR="004C50F7" w:rsidRDefault="004C50F7" w:rsidP="00B216EB">
      <w:pPr>
        <w:pStyle w:val="ConsPlusNormal"/>
        <w:widowControl w:val="0"/>
        <w:ind w:firstLine="709"/>
        <w:jc w:val="both"/>
      </w:pPr>
      <w:r w:rsidRPr="00D35A03">
        <w:t>осуществлен переход от годового к среднесрочному финансовому планированию</w:t>
      </w:r>
      <w:r>
        <w:t>;</w:t>
      </w:r>
    </w:p>
    <w:p w:rsidR="004C50F7" w:rsidRDefault="004C50F7" w:rsidP="00B216EB">
      <w:pPr>
        <w:pStyle w:val="ConsPlusNormal"/>
        <w:widowControl w:val="0"/>
        <w:ind w:firstLine="709"/>
        <w:jc w:val="both"/>
      </w:pPr>
      <w:r>
        <w:t>осуществлен переход на программно-целевой принцип планирования</w:t>
      </w:r>
      <w:r w:rsidRPr="00D35A03">
        <w:t>;</w:t>
      </w:r>
    </w:p>
    <w:p w:rsidR="004C50F7" w:rsidRDefault="004C50F7" w:rsidP="00B216EB">
      <w:pPr>
        <w:pStyle w:val="ConsPlusNormal"/>
        <w:widowControl w:val="0"/>
        <w:ind w:firstLine="709"/>
        <w:jc w:val="both"/>
      </w:pPr>
      <w:r>
        <w:t xml:space="preserve">проведена работа по совершенствованию муниципального финансового контроля в соответствии с требованиями </w:t>
      </w:r>
      <w:r w:rsidR="003F3889">
        <w:t>б</w:t>
      </w:r>
      <w:r>
        <w:t>юджетного законодательства;</w:t>
      </w:r>
    </w:p>
    <w:p w:rsidR="004C50F7" w:rsidRPr="00D35A03" w:rsidRDefault="004C50F7" w:rsidP="004A34BA">
      <w:pPr>
        <w:pStyle w:val="ConsPlusNormal"/>
        <w:widowControl w:val="0"/>
        <w:ind w:firstLine="709"/>
        <w:jc w:val="both"/>
      </w:pPr>
      <w:r>
        <w:lastRenderedPageBreak/>
        <w:t xml:space="preserve">создана система мониторинга качества финансового менеджмента, осуществляемого главными распорядителями средств бюджета города </w:t>
      </w:r>
      <w:r w:rsidR="00132E51">
        <w:t xml:space="preserve">Ставрополя </w:t>
      </w:r>
      <w:r>
        <w:t xml:space="preserve">и </w:t>
      </w:r>
      <w:r w:rsidRPr="00D35A03">
        <w:t>главными администраторами доходов бюджета города</w:t>
      </w:r>
      <w:r w:rsidR="00132E51">
        <w:t xml:space="preserve"> Ставрополя</w:t>
      </w:r>
      <w:r w:rsidRPr="00D35A03">
        <w:t>;</w:t>
      </w:r>
    </w:p>
    <w:p w:rsidR="004C50F7" w:rsidRDefault="004C50F7" w:rsidP="00B216EB">
      <w:pPr>
        <w:pStyle w:val="ConsPlusNormal"/>
        <w:widowControl w:val="0"/>
        <w:ind w:firstLine="709"/>
        <w:jc w:val="both"/>
      </w:pPr>
      <w:r w:rsidRPr="00D35A03">
        <w:t xml:space="preserve">существенно повышена прозрачность информации о бюджете города </w:t>
      </w:r>
      <w:r w:rsidR="00AF2EBC">
        <w:t xml:space="preserve">Ставрополя </w:t>
      </w:r>
      <w:r w:rsidRPr="00D35A03">
        <w:t>и бюджетном процессе в городе Ставрополе.</w:t>
      </w:r>
    </w:p>
    <w:p w:rsidR="004C50F7" w:rsidRPr="00D35A03" w:rsidRDefault="004C50F7" w:rsidP="00B216EB">
      <w:pPr>
        <w:pStyle w:val="ConsPlusNormal"/>
        <w:widowControl w:val="0"/>
        <w:ind w:firstLine="709"/>
        <w:jc w:val="both"/>
      </w:pPr>
      <w:r w:rsidRPr="00D35A03">
        <w:t>В</w:t>
      </w:r>
      <w:r w:rsidR="006146D1">
        <w:t>месте с тем</w:t>
      </w:r>
      <w:r w:rsidRPr="00D35A03">
        <w:t xml:space="preserve"> в сфере управления муниципальными финансами остается ряд проблем, требующих решения, в том числе:</w:t>
      </w:r>
    </w:p>
    <w:p w:rsidR="004C50F7" w:rsidRPr="00D35A03" w:rsidRDefault="004C50F7" w:rsidP="00B216EB">
      <w:pPr>
        <w:pStyle w:val="ConsPlusNormal"/>
        <w:widowControl w:val="0"/>
        <w:ind w:firstLine="709"/>
        <w:jc w:val="both"/>
      </w:pPr>
      <w:r w:rsidRPr="00D35A03">
        <w:t xml:space="preserve">отсутствие целостной системы стратегического планирования и, соответственно, тесной увязки между стратегическим и бюджетным планированием; </w:t>
      </w:r>
    </w:p>
    <w:p w:rsidR="004C50F7" w:rsidRPr="00D35A03" w:rsidRDefault="004C50F7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A03">
        <w:rPr>
          <w:rFonts w:ascii="Times New Roman" w:hAnsi="Times New Roman"/>
          <w:sz w:val="28"/>
          <w:szCs w:val="28"/>
          <w:lang w:eastAsia="ru-RU"/>
        </w:rPr>
        <w:t>недостаточность трехлетнего периода социально-экономического прогнозирования и бюджетного планирования;</w:t>
      </w:r>
    </w:p>
    <w:p w:rsidR="004C50F7" w:rsidRPr="00D35A03" w:rsidRDefault="004C50F7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5A03">
        <w:rPr>
          <w:rFonts w:ascii="Times New Roman" w:hAnsi="Times New Roman"/>
          <w:sz w:val="28"/>
          <w:szCs w:val="28"/>
          <w:lang w:eastAsia="ru-RU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4C50F7" w:rsidRPr="00D35A03" w:rsidRDefault="004C50F7" w:rsidP="00B216EB">
      <w:pPr>
        <w:pStyle w:val="ConsPlusNormal"/>
        <w:widowControl w:val="0"/>
        <w:ind w:firstLine="709"/>
        <w:jc w:val="both"/>
      </w:pPr>
      <w:r w:rsidRPr="00D35A03">
        <w:t>незавершенность процедур формирования и недостаточность практики использования муниципальных программ в качестве основного инструмента для достижения целей социально-экономического развития города Ставрополя и основы для бюджетного планирования;</w:t>
      </w:r>
    </w:p>
    <w:p w:rsidR="004C50F7" w:rsidRPr="00D35A03" w:rsidRDefault="004C50F7" w:rsidP="00B216EB">
      <w:pPr>
        <w:pStyle w:val="ConsPlusNormal"/>
        <w:widowControl w:val="0"/>
        <w:ind w:firstLine="709"/>
        <w:jc w:val="both"/>
      </w:pPr>
      <w:r w:rsidRPr="00D35A03">
        <w:t>отсутствие глубокого анализа сложившейся практики применения муниципальных заданий;</w:t>
      </w:r>
    </w:p>
    <w:p w:rsidR="004C50F7" w:rsidRPr="00D35A03" w:rsidRDefault="004C50F7" w:rsidP="00B216EB">
      <w:pPr>
        <w:pStyle w:val="ConsPlusNormal"/>
        <w:widowControl w:val="0"/>
        <w:ind w:firstLine="709"/>
        <w:jc w:val="both"/>
      </w:pPr>
      <w:r w:rsidRPr="00D35A03">
        <w:t>недостаточная действенность системы муниципального финансового контроля, в том числе внутреннего финансового контроля и внутреннего финансового аудита, а также недостаточная ориентация системы муниципального финансового контроля на оценку эффективности бюджетных расходов.</w:t>
      </w:r>
    </w:p>
    <w:p w:rsidR="004C50F7" w:rsidRPr="00D35A03" w:rsidRDefault="004C50F7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5A03">
        <w:rPr>
          <w:rFonts w:ascii="Times New Roman" w:hAnsi="Times New Roman"/>
          <w:sz w:val="28"/>
          <w:szCs w:val="28"/>
          <w:lang w:eastAsia="ru-RU"/>
        </w:rPr>
        <w:t xml:space="preserve">Решение указанных проблем создаст необходимые условия и предпосылки для достижения стратегических целей и задач </w:t>
      </w:r>
      <w:r w:rsidRPr="00D35A03"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Ставрополя.</w:t>
      </w:r>
    </w:p>
    <w:p w:rsidR="00570A87" w:rsidRDefault="00570A87" w:rsidP="00B216EB">
      <w:pPr>
        <w:pStyle w:val="ConsPlusNormal"/>
        <w:widowControl w:val="0"/>
        <w:ind w:firstLine="709"/>
        <w:jc w:val="both"/>
      </w:pPr>
      <w:r w:rsidRPr="00151B67">
        <w:t xml:space="preserve">Основные показатели исполнения бюджета </w:t>
      </w:r>
      <w:r>
        <w:t>города Ставрополя</w:t>
      </w:r>
      <w:r w:rsidRPr="00151B67">
        <w:t xml:space="preserve"> </w:t>
      </w:r>
      <w:r>
        <w:t xml:space="preserve">                        с 20</w:t>
      </w:r>
      <w:r w:rsidR="00AA60C7">
        <w:t>10</w:t>
      </w:r>
      <w:r>
        <w:t xml:space="preserve"> по 2015 годы </w:t>
      </w:r>
      <w:r w:rsidRPr="00151B67">
        <w:t>характеризуются следующими данными:</w:t>
      </w:r>
    </w:p>
    <w:p w:rsidR="007F3AAD" w:rsidRDefault="007F3AAD" w:rsidP="00B216EB">
      <w:pPr>
        <w:widowControl w:val="0"/>
        <w:spacing w:after="0" w:line="240" w:lineRule="exact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F3AAD" w:rsidRPr="008F01AA" w:rsidRDefault="007F3AAD" w:rsidP="00B216EB">
      <w:pPr>
        <w:pStyle w:val="ConsPlusNormal"/>
        <w:widowControl w:val="0"/>
        <w:jc w:val="right"/>
        <w:rPr>
          <w:sz w:val="20"/>
          <w:szCs w:val="20"/>
          <w:highlight w:val="yellow"/>
        </w:rPr>
      </w:pPr>
      <w:r w:rsidRPr="008F01AA">
        <w:rPr>
          <w:sz w:val="20"/>
          <w:szCs w:val="20"/>
        </w:rPr>
        <w:t>млн. рублей</w:t>
      </w:r>
    </w:p>
    <w:tbl>
      <w:tblPr>
        <w:tblW w:w="9441" w:type="dxa"/>
        <w:tblInd w:w="96" w:type="dxa"/>
        <w:tblLook w:val="04A0"/>
      </w:tblPr>
      <w:tblGrid>
        <w:gridCol w:w="4407"/>
        <w:gridCol w:w="816"/>
        <w:gridCol w:w="850"/>
        <w:gridCol w:w="851"/>
        <w:gridCol w:w="816"/>
        <w:gridCol w:w="885"/>
        <w:gridCol w:w="816"/>
      </w:tblGrid>
      <w:tr w:rsidR="00CF2BEC" w:rsidRPr="007F3AAD" w:rsidTr="002868C2">
        <w:trPr>
          <w:cantSplit/>
          <w:trHeight w:val="20"/>
          <w:tblHeader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6 911,3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7 643,3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7 725,6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8 428,7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3 226,1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3 633,8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3 499,9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3 558,3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3 032,8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3 685,2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4 009,5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4 225,7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4 870,4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7 161,2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7 459,6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7 777,5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8 853,4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-249,9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183,7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-51,9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-424,7</w:t>
            </w:r>
          </w:p>
        </w:tc>
      </w:tr>
      <w:tr w:rsidR="00CF2BEC" w:rsidRPr="007F3AAD" w:rsidTr="00A6575F">
        <w:trPr>
          <w:cantSplit/>
          <w:trHeight w:val="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Муниципальный долг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130,9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BEC" w:rsidRPr="007F3AAD" w:rsidRDefault="00CF2BE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650,9</w:t>
            </w:r>
          </w:p>
        </w:tc>
      </w:tr>
      <w:tr w:rsidR="00A6575F" w:rsidRPr="007F3AAD" w:rsidTr="00A6575F">
        <w:trPr>
          <w:cantSplit/>
          <w:trHeight w:val="2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Отношение м</w:t>
            </w: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</w:t>
            </w: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долг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 к доходам бюджета </w:t>
            </w:r>
            <w:r w:rsidR="00AF2E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города Ставрополя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учета безвозмездных поступлений (в %)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F3A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75F" w:rsidRPr="007F3AAD" w:rsidRDefault="00A6575F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</w:tbl>
    <w:p w:rsidR="00AF2EBC" w:rsidRPr="00AF2EBC" w:rsidRDefault="00AF2EBC" w:rsidP="00B216EB">
      <w:pPr>
        <w:pStyle w:val="ConsPlusNormal"/>
        <w:widowControl w:val="0"/>
        <w:ind w:firstLine="709"/>
        <w:jc w:val="both"/>
        <w:rPr>
          <w:sz w:val="10"/>
          <w:szCs w:val="10"/>
        </w:rPr>
      </w:pPr>
    </w:p>
    <w:p w:rsidR="00872BCA" w:rsidRDefault="004C50F7" w:rsidP="00B216EB">
      <w:pPr>
        <w:pStyle w:val="ConsPlusNormal"/>
        <w:widowControl w:val="0"/>
        <w:ind w:firstLine="709"/>
        <w:jc w:val="both"/>
      </w:pPr>
      <w:r w:rsidRPr="00126A6E">
        <w:t xml:space="preserve">Анализ показателей исполнения бюджета </w:t>
      </w:r>
      <w:r w:rsidR="00126A6E" w:rsidRPr="00126A6E">
        <w:t xml:space="preserve">города </w:t>
      </w:r>
      <w:r w:rsidR="0009407F">
        <w:t xml:space="preserve">Ставрополя </w:t>
      </w:r>
      <w:r w:rsidR="00B216EB">
        <w:t xml:space="preserve">в </w:t>
      </w:r>
      <w:r w:rsidRPr="00126A6E">
        <w:lastRenderedPageBreak/>
        <w:t>ретроспективе 20</w:t>
      </w:r>
      <w:r w:rsidR="00A6575F">
        <w:t>10</w:t>
      </w:r>
      <w:r w:rsidRPr="00126A6E">
        <w:t xml:space="preserve"> - 2015 г</w:t>
      </w:r>
      <w:r w:rsidR="00AA60C7">
        <w:t>одов</w:t>
      </w:r>
      <w:r w:rsidRPr="00126A6E">
        <w:t xml:space="preserve"> отражает недостаток собственных (незаемных) финансовых ресурсов для исполнения принятых расходных обязательств, опережающий темп роста расходов по сравнению с темпом роста доходных источников, и, как следствие, значительное увеличение объема </w:t>
      </w:r>
      <w:r w:rsidR="00126A6E" w:rsidRPr="00126A6E">
        <w:t>муниципального</w:t>
      </w:r>
      <w:r w:rsidRPr="00126A6E">
        <w:t xml:space="preserve"> долга </w:t>
      </w:r>
      <w:r w:rsidR="00126A6E" w:rsidRPr="00126A6E">
        <w:t>города Ставрополя</w:t>
      </w:r>
      <w:r w:rsidRPr="00126A6E">
        <w:t>.</w:t>
      </w:r>
      <w:r w:rsidR="00872BCA">
        <w:t xml:space="preserve"> </w:t>
      </w:r>
    </w:p>
    <w:p w:rsidR="005D04D4" w:rsidRPr="00517296" w:rsidRDefault="005D04D4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296">
        <w:rPr>
          <w:rFonts w:ascii="Times New Roman" w:hAnsi="Times New Roman"/>
          <w:sz w:val="28"/>
          <w:szCs w:val="28"/>
        </w:rPr>
        <w:t xml:space="preserve">За десять месяцев 2016 года налоговые и неналоговые доходы бюджета города </w:t>
      </w:r>
      <w:r w:rsidR="00AF2EBC">
        <w:rPr>
          <w:rFonts w:ascii="Times New Roman" w:hAnsi="Times New Roman"/>
          <w:sz w:val="28"/>
          <w:szCs w:val="28"/>
        </w:rPr>
        <w:t xml:space="preserve">Ставрополя </w:t>
      </w:r>
      <w:r w:rsidRPr="00517296">
        <w:rPr>
          <w:rFonts w:ascii="Times New Roman" w:hAnsi="Times New Roman"/>
          <w:sz w:val="28"/>
          <w:szCs w:val="28"/>
        </w:rPr>
        <w:t>составили 2 535 889 тыс. рублей. Бюджетные назначения по доходам исполнены на 92,1</w:t>
      </w:r>
      <w:r w:rsidR="00AF2EBC">
        <w:rPr>
          <w:rFonts w:ascii="Times New Roman" w:hAnsi="Times New Roman"/>
          <w:sz w:val="28"/>
          <w:szCs w:val="28"/>
        </w:rPr>
        <w:t xml:space="preserve"> процента</w:t>
      </w:r>
      <w:r w:rsidRPr="00517296">
        <w:rPr>
          <w:rFonts w:ascii="Times New Roman" w:hAnsi="Times New Roman"/>
          <w:sz w:val="28"/>
          <w:szCs w:val="28"/>
        </w:rPr>
        <w:t>, плановый прогнозный показатель по налоговым и неналоговым доходам недовыполнен на 217 187 тыс. рублей.</w:t>
      </w:r>
    </w:p>
    <w:p w:rsidR="005D04D4" w:rsidRPr="00517296" w:rsidRDefault="005D04D4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7296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периодом прошлого года общий объем поступлений сократилс</w:t>
      </w:r>
      <w:r w:rsidR="000D652C">
        <w:rPr>
          <w:rFonts w:ascii="Times New Roman" w:hAnsi="Times New Roman"/>
          <w:sz w:val="28"/>
          <w:szCs w:val="28"/>
          <w:lang w:eastAsia="ru-RU"/>
        </w:rPr>
        <w:t>я</w:t>
      </w:r>
      <w:r w:rsidRPr="00517296">
        <w:rPr>
          <w:rFonts w:ascii="Times New Roman" w:hAnsi="Times New Roman"/>
          <w:color w:val="000000"/>
          <w:sz w:val="28"/>
          <w:szCs w:val="28"/>
        </w:rPr>
        <w:t xml:space="preserve"> на 218 405 тыс. рублей или на 3,5</w:t>
      </w:r>
      <w:r w:rsidR="00AF2EBC" w:rsidRPr="00AF2EBC">
        <w:rPr>
          <w:rFonts w:ascii="Times New Roman" w:hAnsi="Times New Roman"/>
          <w:sz w:val="28"/>
          <w:szCs w:val="28"/>
        </w:rPr>
        <w:t xml:space="preserve"> </w:t>
      </w:r>
      <w:r w:rsidR="00AF2EBC">
        <w:rPr>
          <w:rFonts w:ascii="Times New Roman" w:hAnsi="Times New Roman"/>
          <w:sz w:val="28"/>
          <w:szCs w:val="28"/>
        </w:rPr>
        <w:t>процента</w:t>
      </w:r>
      <w:r w:rsidR="00AF2EBC" w:rsidRPr="00517296">
        <w:rPr>
          <w:rFonts w:ascii="Times New Roman" w:hAnsi="Times New Roman"/>
          <w:sz w:val="28"/>
          <w:szCs w:val="28"/>
        </w:rPr>
        <w:t>,</w:t>
      </w:r>
      <w:r w:rsidRPr="00517296">
        <w:rPr>
          <w:rFonts w:ascii="Times New Roman" w:hAnsi="Times New Roman"/>
          <w:color w:val="000000"/>
          <w:sz w:val="28"/>
          <w:szCs w:val="28"/>
        </w:rPr>
        <w:t xml:space="preserve"> в том числе по  налоговым и неналоговым доходам уменьшился на 334 287 тыс. рублей или на 11,6</w:t>
      </w:r>
      <w:r w:rsidR="00AF2EBC" w:rsidRPr="00AF2EBC">
        <w:rPr>
          <w:rFonts w:ascii="Times New Roman" w:hAnsi="Times New Roman"/>
          <w:sz w:val="28"/>
          <w:szCs w:val="28"/>
        </w:rPr>
        <w:t xml:space="preserve"> </w:t>
      </w:r>
      <w:r w:rsidR="00AF2EBC">
        <w:rPr>
          <w:rFonts w:ascii="Times New Roman" w:hAnsi="Times New Roman"/>
          <w:sz w:val="28"/>
          <w:szCs w:val="28"/>
        </w:rPr>
        <w:t>процента</w:t>
      </w:r>
      <w:r w:rsidR="00AF2EBC" w:rsidRPr="00517296">
        <w:rPr>
          <w:rFonts w:ascii="Times New Roman" w:hAnsi="Times New Roman"/>
          <w:sz w:val="28"/>
          <w:szCs w:val="28"/>
        </w:rPr>
        <w:t>,</w:t>
      </w:r>
      <w:r w:rsidRPr="00517296">
        <w:rPr>
          <w:rFonts w:ascii="Times New Roman" w:hAnsi="Times New Roman"/>
          <w:color w:val="000000"/>
          <w:sz w:val="28"/>
          <w:szCs w:val="28"/>
        </w:rPr>
        <w:t xml:space="preserve"> а объем безвозмездных поступлений при этом увеличился на 115 882 тыс. рублей или на 3,5</w:t>
      </w:r>
      <w:r w:rsidR="00AF2EBC" w:rsidRPr="00AF2EBC">
        <w:rPr>
          <w:rFonts w:ascii="Times New Roman" w:hAnsi="Times New Roman"/>
          <w:sz w:val="28"/>
          <w:szCs w:val="28"/>
        </w:rPr>
        <w:t xml:space="preserve"> </w:t>
      </w:r>
      <w:r w:rsidR="00AF2EBC">
        <w:rPr>
          <w:rFonts w:ascii="Times New Roman" w:hAnsi="Times New Roman"/>
          <w:sz w:val="28"/>
          <w:szCs w:val="28"/>
        </w:rPr>
        <w:t>процента</w:t>
      </w:r>
      <w:r w:rsidRPr="00517296">
        <w:rPr>
          <w:rFonts w:ascii="Times New Roman" w:hAnsi="Times New Roman"/>
          <w:color w:val="000000"/>
          <w:sz w:val="28"/>
          <w:szCs w:val="28"/>
        </w:rPr>
        <w:t>.</w:t>
      </w:r>
    </w:p>
    <w:p w:rsidR="005D04D4" w:rsidRPr="00517296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Неисполнение плановых назначений наблюдается практически по всем основным доходным источникам:</w:t>
      </w:r>
    </w:p>
    <w:p w:rsidR="005D04D4" w:rsidRPr="00517296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по единому налогу на вмененный доход – на 31 757,63 тыс. руб</w:t>
      </w:r>
      <w:r w:rsidR="00AF2EBC">
        <w:rPr>
          <w:szCs w:val="28"/>
        </w:rPr>
        <w:t>лей</w:t>
      </w:r>
      <w:r w:rsidRPr="00517296">
        <w:rPr>
          <w:szCs w:val="28"/>
        </w:rPr>
        <w:t>;</w:t>
      </w:r>
    </w:p>
    <w:p w:rsidR="005D04D4" w:rsidRPr="00517296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по налогу на имущество физических лиц – на 53 151,28 тыс. руб</w:t>
      </w:r>
      <w:r w:rsidR="00AF2EBC">
        <w:rPr>
          <w:szCs w:val="28"/>
        </w:rPr>
        <w:t>лей</w:t>
      </w:r>
      <w:r w:rsidRPr="00517296">
        <w:rPr>
          <w:szCs w:val="28"/>
        </w:rPr>
        <w:t>;</w:t>
      </w:r>
    </w:p>
    <w:p w:rsidR="005D04D4" w:rsidRPr="00517296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по земельному налогу – на 46 139,07 тыс. руб</w:t>
      </w:r>
      <w:r w:rsidR="00AF2EBC">
        <w:rPr>
          <w:szCs w:val="28"/>
        </w:rPr>
        <w:t>лей</w:t>
      </w:r>
      <w:r w:rsidRPr="00517296">
        <w:rPr>
          <w:szCs w:val="28"/>
        </w:rPr>
        <w:t>;</w:t>
      </w:r>
    </w:p>
    <w:p w:rsidR="005D04D4" w:rsidRPr="00517296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по доходам от аренды земли – на 106 261,09 тыс. руб</w:t>
      </w:r>
      <w:r w:rsidR="00AF2EBC">
        <w:rPr>
          <w:szCs w:val="28"/>
        </w:rPr>
        <w:t>лей</w:t>
      </w:r>
      <w:r w:rsidRPr="00517296">
        <w:rPr>
          <w:szCs w:val="28"/>
        </w:rPr>
        <w:t>.</w:t>
      </w:r>
    </w:p>
    <w:p w:rsidR="005D04D4" w:rsidRPr="00EA2698" w:rsidRDefault="005D04D4" w:rsidP="00B216EB">
      <w:pPr>
        <w:pStyle w:val="a5"/>
        <w:widowControl w:val="0"/>
        <w:jc w:val="both"/>
        <w:rPr>
          <w:szCs w:val="28"/>
        </w:rPr>
      </w:pPr>
      <w:r w:rsidRPr="00517296">
        <w:rPr>
          <w:szCs w:val="28"/>
        </w:rPr>
        <w:t>В целом ожидаемое выполнение плана по собственным доходам за 2016 год прогнозируется на уровне 95,0</w:t>
      </w:r>
      <w:r w:rsidR="00AF2EBC">
        <w:rPr>
          <w:szCs w:val="28"/>
        </w:rPr>
        <w:t xml:space="preserve"> процентов</w:t>
      </w:r>
      <w:r w:rsidRPr="00517296">
        <w:rPr>
          <w:szCs w:val="28"/>
        </w:rPr>
        <w:t xml:space="preserve"> к уточненному плану, сумма недополученных доходов по итогам года - в размере 171 007,61 тыс. рублей.</w:t>
      </w:r>
    </w:p>
    <w:p w:rsidR="0009407F" w:rsidRPr="0009407F" w:rsidRDefault="0009407F" w:rsidP="00B216EB">
      <w:pPr>
        <w:pStyle w:val="ConsPlusNormal"/>
        <w:widowControl w:val="0"/>
        <w:ind w:firstLine="709"/>
        <w:jc w:val="both"/>
        <w:rPr>
          <w:color w:val="FF0000"/>
        </w:rPr>
      </w:pPr>
    </w:p>
    <w:p w:rsidR="00B63205" w:rsidRPr="000D5262" w:rsidRDefault="00B63205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B63205">
        <w:rPr>
          <w:rFonts w:ascii="Times New Roman" w:hAnsi="Times New Roman"/>
          <w:sz w:val="28"/>
          <w:szCs w:val="28"/>
        </w:rPr>
        <w:t xml:space="preserve">2. Цели и задачи </w:t>
      </w:r>
      <w:r w:rsidR="003F3889">
        <w:rPr>
          <w:rFonts w:ascii="Times New Roman" w:hAnsi="Times New Roman"/>
          <w:sz w:val="28"/>
          <w:szCs w:val="28"/>
        </w:rPr>
        <w:t xml:space="preserve">реализации </w:t>
      </w:r>
      <w:r w:rsidRPr="00B63205">
        <w:rPr>
          <w:rFonts w:ascii="Times New Roman" w:hAnsi="Times New Roman"/>
          <w:sz w:val="28"/>
          <w:szCs w:val="28"/>
        </w:rPr>
        <w:t>бюджетной политики города Ставрополя на период до 2022 года</w:t>
      </w:r>
    </w:p>
    <w:p w:rsidR="007F5AEA" w:rsidRPr="0081495E" w:rsidRDefault="007F5AEA" w:rsidP="00B216E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774" w:rsidRDefault="0009407F" w:rsidP="00B216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774">
        <w:rPr>
          <w:rFonts w:ascii="Times New Roman" w:hAnsi="Times New Roman"/>
          <w:sz w:val="28"/>
          <w:szCs w:val="28"/>
          <w:lang w:eastAsia="ru-RU"/>
        </w:rPr>
        <w:t>В сложившихся условиях основные усилия в сфере управления муниципальными финансами будут направлены на обеспечение решения приоритетных задач социально</w:t>
      </w:r>
      <w:r w:rsidR="00AF2EBC">
        <w:rPr>
          <w:rFonts w:ascii="Times New Roman" w:hAnsi="Times New Roman"/>
          <w:sz w:val="28"/>
          <w:szCs w:val="28"/>
          <w:lang w:eastAsia="ru-RU"/>
        </w:rPr>
        <w:t>–</w:t>
      </w:r>
      <w:r w:rsidRPr="00142774">
        <w:rPr>
          <w:rFonts w:ascii="Times New Roman" w:hAnsi="Times New Roman"/>
          <w:sz w:val="28"/>
          <w:szCs w:val="28"/>
          <w:lang w:eastAsia="ru-RU"/>
        </w:rPr>
        <w:t xml:space="preserve">экономического развития города Ставрополя, определенных Стратегией </w:t>
      </w:r>
      <w:r w:rsidR="00142774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города Ставрополя до 2030 года, утвержденной решением Ставропольской городской Дум</w:t>
      </w:r>
      <w:r w:rsidR="007451D8">
        <w:rPr>
          <w:rFonts w:ascii="Times New Roman" w:hAnsi="Times New Roman"/>
          <w:sz w:val="28"/>
          <w:szCs w:val="28"/>
          <w:lang w:eastAsia="ru-RU"/>
        </w:rPr>
        <w:t>ы</w:t>
      </w:r>
      <w:r w:rsidR="00142774">
        <w:rPr>
          <w:rFonts w:ascii="Times New Roman" w:hAnsi="Times New Roman"/>
          <w:sz w:val="28"/>
          <w:szCs w:val="28"/>
          <w:lang w:eastAsia="ru-RU"/>
        </w:rPr>
        <w:t xml:space="preserve"> от 24 июня 2016 г. № 869, при одновременном обеспечении устойчивости и сбалансированности бюджета города Ставрополя.</w:t>
      </w:r>
    </w:p>
    <w:p w:rsidR="00FB79B1" w:rsidRPr="002C08B0" w:rsidRDefault="00142774" w:rsidP="00B216EB">
      <w:pPr>
        <w:pStyle w:val="ConsPlusNormal"/>
        <w:widowControl w:val="0"/>
        <w:ind w:firstLine="709"/>
        <w:jc w:val="both"/>
      </w:pPr>
      <w:r>
        <w:t>Основными</w:t>
      </w:r>
      <w:r w:rsidR="00FB79B1" w:rsidRPr="00E1549B">
        <w:t xml:space="preserve"> задачам</w:t>
      </w:r>
      <w:r>
        <w:t>и</w:t>
      </w:r>
      <w:r w:rsidR="00FB79B1" w:rsidRPr="00E1549B">
        <w:t xml:space="preserve"> бюджетно</w:t>
      </w:r>
      <w:r w:rsidR="003F3889">
        <w:t>й политики города Ставрополя на период</w:t>
      </w:r>
      <w:r w:rsidR="007451D8">
        <w:t xml:space="preserve"> до 2022 года</w:t>
      </w:r>
      <w:r w:rsidR="00FB79B1" w:rsidRPr="00E1549B">
        <w:t xml:space="preserve"> </w:t>
      </w:r>
      <w:r>
        <w:t>являются</w:t>
      </w:r>
      <w:r w:rsidR="00FB79B1" w:rsidRPr="002C08B0">
        <w:t>:</w:t>
      </w:r>
    </w:p>
    <w:p w:rsidR="002A18CC" w:rsidRPr="002C08B0" w:rsidRDefault="00E1549B" w:rsidP="00B216EB">
      <w:pPr>
        <w:pStyle w:val="ConsPlusNormal"/>
        <w:widowControl w:val="0"/>
        <w:ind w:firstLine="709"/>
        <w:jc w:val="both"/>
      </w:pPr>
      <w:r w:rsidRPr="002C08B0">
        <w:t>1</w:t>
      </w:r>
      <w:r w:rsidR="006239C3">
        <w:t>)</w:t>
      </w:r>
      <w:r w:rsidR="002504AB" w:rsidRPr="002C08B0">
        <w:t> </w:t>
      </w:r>
      <w:r w:rsidR="00AF2EBC">
        <w:t>п</w:t>
      </w:r>
      <w:r w:rsidR="002A18CC" w:rsidRPr="002C08B0">
        <w:t xml:space="preserve">роведение эффективной налоговой политики, нацеленной на сохранение и развитие доходного потенциала бюджета города </w:t>
      </w:r>
      <w:r w:rsidR="00142774">
        <w:t xml:space="preserve">Ставрополя </w:t>
      </w:r>
      <w:r w:rsidR="002A18CC" w:rsidRPr="002C08B0">
        <w:t>в долгосрочной перспективе.</w:t>
      </w:r>
    </w:p>
    <w:p w:rsidR="002C08B0" w:rsidRPr="002C08B0" w:rsidRDefault="002C08B0" w:rsidP="00B216EB">
      <w:pPr>
        <w:pStyle w:val="ConsPlusNormal"/>
        <w:widowControl w:val="0"/>
        <w:ind w:left="709"/>
        <w:jc w:val="both"/>
      </w:pPr>
      <w:r w:rsidRPr="002C08B0">
        <w:t>Для реализации указанной задачи планируется:</w:t>
      </w:r>
    </w:p>
    <w:p w:rsidR="002C08B0" w:rsidRPr="002C08B0" w:rsidRDefault="002C08B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8B0">
        <w:rPr>
          <w:rFonts w:ascii="Times New Roman" w:hAnsi="Times New Roman"/>
          <w:sz w:val="28"/>
          <w:szCs w:val="28"/>
        </w:rPr>
        <w:t>увеличение налогового потенциала города Ставрополя за счет налогового стимулирования деловой активности, привлечения инвестиций, реализации высокоэффективных инвестиционных проектов;</w:t>
      </w:r>
    </w:p>
    <w:p w:rsidR="002C08B0" w:rsidRPr="002C08B0" w:rsidRDefault="002C08B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8B0">
        <w:rPr>
          <w:rFonts w:ascii="Times New Roman" w:hAnsi="Times New Roman"/>
          <w:sz w:val="28"/>
          <w:szCs w:val="28"/>
        </w:rPr>
        <w:lastRenderedPageBreak/>
        <w:t>про</w:t>
      </w:r>
      <w:r w:rsidR="003F3889">
        <w:rPr>
          <w:rFonts w:ascii="Times New Roman" w:hAnsi="Times New Roman"/>
          <w:sz w:val="28"/>
          <w:szCs w:val="28"/>
        </w:rPr>
        <w:t>ведение</w:t>
      </w:r>
      <w:r w:rsidRPr="002C08B0">
        <w:rPr>
          <w:rFonts w:ascii="Times New Roman" w:hAnsi="Times New Roman"/>
          <w:sz w:val="28"/>
          <w:szCs w:val="28"/>
        </w:rPr>
        <w:t xml:space="preserve"> политики обоснованно</w:t>
      </w:r>
      <w:r w:rsidR="003F3889">
        <w:rPr>
          <w:rFonts w:ascii="Times New Roman" w:hAnsi="Times New Roman"/>
          <w:sz w:val="28"/>
          <w:szCs w:val="28"/>
        </w:rPr>
        <w:t>го</w:t>
      </w:r>
      <w:r w:rsidRPr="002C08B0">
        <w:rPr>
          <w:rFonts w:ascii="Times New Roman" w:hAnsi="Times New Roman"/>
          <w:sz w:val="28"/>
          <w:szCs w:val="28"/>
        </w:rPr>
        <w:t xml:space="preserve"> и эффективно</w:t>
      </w:r>
      <w:r w:rsidR="003F3889">
        <w:rPr>
          <w:rFonts w:ascii="Times New Roman" w:hAnsi="Times New Roman"/>
          <w:sz w:val="28"/>
          <w:szCs w:val="28"/>
        </w:rPr>
        <w:t>го</w:t>
      </w:r>
      <w:r w:rsidRPr="002C08B0">
        <w:rPr>
          <w:rFonts w:ascii="Times New Roman" w:hAnsi="Times New Roman"/>
          <w:sz w:val="28"/>
          <w:szCs w:val="28"/>
        </w:rPr>
        <w:t xml:space="preserve"> применения налоговых льгот;</w:t>
      </w:r>
    </w:p>
    <w:p w:rsidR="002C08B0" w:rsidRPr="002C08B0" w:rsidRDefault="002C08B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8B0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природными ресурсами города Ставрополя и увеличение доходов от их использования;</w:t>
      </w:r>
    </w:p>
    <w:p w:rsidR="002C08B0" w:rsidRPr="002C08B0" w:rsidRDefault="002C08B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8B0">
        <w:rPr>
          <w:rFonts w:ascii="Times New Roman" w:hAnsi="Times New Roman"/>
          <w:sz w:val="28"/>
          <w:szCs w:val="28"/>
        </w:rPr>
        <w:t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города Ставрополя и выполнение в полном объеме утвержденных годовых плановых назначений по доходам;</w:t>
      </w:r>
    </w:p>
    <w:p w:rsidR="002C08B0" w:rsidRPr="002C08B0" w:rsidRDefault="002C08B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8B0">
        <w:rPr>
          <w:rFonts w:ascii="Times New Roman" w:hAnsi="Times New Roman"/>
          <w:sz w:val="28"/>
          <w:szCs w:val="28"/>
        </w:rPr>
        <w:t>дальнейшее осуществление мероприятий по легализации «теневой» заработной платы в городе Ставрополе</w:t>
      </w:r>
      <w:r w:rsidR="00B216EB">
        <w:rPr>
          <w:rFonts w:ascii="Times New Roman" w:hAnsi="Times New Roman"/>
          <w:sz w:val="28"/>
          <w:szCs w:val="28"/>
        </w:rPr>
        <w:t>;</w:t>
      </w:r>
    </w:p>
    <w:p w:rsidR="00A34EB4" w:rsidRDefault="006239C3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504AB">
        <w:rPr>
          <w:rFonts w:ascii="Times New Roman" w:hAnsi="Times New Roman"/>
          <w:sz w:val="28"/>
          <w:szCs w:val="28"/>
        </w:rPr>
        <w:t> </w:t>
      </w:r>
      <w:r w:rsidR="00AF2EBC">
        <w:rPr>
          <w:rFonts w:ascii="Times New Roman" w:hAnsi="Times New Roman"/>
          <w:sz w:val="28"/>
          <w:szCs w:val="28"/>
        </w:rPr>
        <w:t>с</w:t>
      </w:r>
      <w:r w:rsidR="00A34EB4" w:rsidRPr="00771F56">
        <w:rPr>
          <w:rFonts w:ascii="Times New Roman" w:hAnsi="Times New Roman"/>
          <w:sz w:val="28"/>
          <w:szCs w:val="28"/>
        </w:rPr>
        <w:t>овершенствование структуры расходов бюджета города</w:t>
      </w:r>
      <w:r w:rsidR="00142774">
        <w:rPr>
          <w:rFonts w:ascii="Times New Roman" w:hAnsi="Times New Roman"/>
          <w:sz w:val="28"/>
          <w:szCs w:val="28"/>
        </w:rPr>
        <w:t xml:space="preserve"> Ставрополя</w:t>
      </w:r>
      <w:r w:rsidR="00A34EB4" w:rsidRPr="00771F56">
        <w:rPr>
          <w:rFonts w:ascii="Times New Roman" w:hAnsi="Times New Roman"/>
          <w:sz w:val="28"/>
          <w:szCs w:val="28"/>
        </w:rPr>
        <w:t xml:space="preserve"> и повышение их эффективности.</w:t>
      </w:r>
    </w:p>
    <w:p w:rsidR="001F2939" w:rsidRPr="00DA23BF" w:rsidRDefault="001F2939" w:rsidP="001F2939">
      <w:pPr>
        <w:pStyle w:val="ConsPlusNormal"/>
        <w:ind w:firstLine="709"/>
        <w:jc w:val="both"/>
      </w:pPr>
      <w:r>
        <w:t xml:space="preserve">В условиях </w:t>
      </w:r>
      <w:r w:rsidRPr="00DA23BF">
        <w:t xml:space="preserve">постоянного роста бюджетных расходов </w:t>
      </w:r>
      <w:r w:rsidR="000E2DE1">
        <w:t xml:space="preserve">и </w:t>
      </w:r>
      <w:r w:rsidRPr="00DA23BF">
        <w:t xml:space="preserve"> ввиду отсутствия достаточных доходов</w:t>
      </w:r>
      <w:r w:rsidR="000E2DE1">
        <w:t xml:space="preserve"> необходимо </w:t>
      </w:r>
      <w:r w:rsidRPr="00DA23BF">
        <w:t xml:space="preserve">решение задач повышения эффективности расходов и переориентации бюджетных ассигнований в рамках существующих бюджетных ограничений на реализацию приоритетных направлений </w:t>
      </w:r>
      <w:r>
        <w:t>муниципальной</w:t>
      </w:r>
      <w:r w:rsidRPr="00DA23BF">
        <w:t xml:space="preserve"> политики.</w:t>
      </w:r>
    </w:p>
    <w:p w:rsidR="00A34EB4" w:rsidRPr="00A34EB4" w:rsidRDefault="00A34EB4" w:rsidP="00B216EB">
      <w:pPr>
        <w:pStyle w:val="ConsPlusNormal"/>
        <w:widowControl w:val="0"/>
        <w:ind w:firstLine="709"/>
        <w:jc w:val="both"/>
      </w:pPr>
      <w:r w:rsidRPr="002C08B0">
        <w:t xml:space="preserve">Направления и мероприятия муниципальной политики, реализуемые в рамках муниципальных программ города Ставрополя (далее – муниципальные программы), должны иметь надежное и просчитанное финансовое обеспечение. Должны быть определены объемы финансовых ресурсов, необходимые для достижения конкретных целей и количественно определенных результатов, при обеспечении сбалансированности бюджета города </w:t>
      </w:r>
      <w:r w:rsidR="00AF2EBC">
        <w:t>Ставрополя в долгосрочном периоде, что</w:t>
      </w:r>
      <w:r w:rsidRPr="002C08B0">
        <w:t xml:space="preserve"> потребует применения системного механизма приведения объемов финансового обеспечения муниципальных программ на весь период их действия к реальным возможностям бюджета города</w:t>
      </w:r>
      <w:r w:rsidR="00142774">
        <w:t xml:space="preserve"> Ставрополя</w:t>
      </w:r>
      <w:r w:rsidRPr="002C08B0">
        <w:t>.</w:t>
      </w:r>
    </w:p>
    <w:p w:rsidR="00A34EB4" w:rsidRDefault="00A34EB4" w:rsidP="00B216EB">
      <w:pPr>
        <w:pStyle w:val="ConsPlusNormal"/>
        <w:widowControl w:val="0"/>
        <w:ind w:firstLine="709"/>
        <w:jc w:val="both"/>
      </w:pPr>
      <w:r w:rsidRPr="00A34EB4">
        <w:t xml:space="preserve">Необходимо разработать и внедрить систему регулярного анализа эффективности по каждому направлению расходов, в том числе динамики соответствующих показателей. Систематический анализ </w:t>
      </w:r>
      <w:r w:rsidR="00142774">
        <w:t xml:space="preserve">выполнения мероприятий </w:t>
      </w:r>
      <w:r w:rsidRPr="00A34EB4">
        <w:t>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 Соответствующую оценку на основании динамики объемов расходов, значений целевых показателей (индикаторов) необходимо проводить по муниципальны</w:t>
      </w:r>
      <w:r w:rsidR="007451D8">
        <w:t>м</w:t>
      </w:r>
      <w:r w:rsidRPr="00A34EB4">
        <w:t xml:space="preserve"> программам с рассмот</w:t>
      </w:r>
      <w:r w:rsidR="00B216EB">
        <w:t>рением отчетов об их реализации;</w:t>
      </w:r>
    </w:p>
    <w:p w:rsidR="00FD3638" w:rsidRPr="00886722" w:rsidRDefault="006239C3" w:rsidP="00B216EB">
      <w:pPr>
        <w:pStyle w:val="ConsPlusNormal"/>
        <w:widowControl w:val="0"/>
        <w:ind w:firstLine="709"/>
        <w:jc w:val="both"/>
      </w:pPr>
      <w:r>
        <w:t>3)</w:t>
      </w:r>
      <w:r w:rsidR="00F634B5">
        <w:t> </w:t>
      </w:r>
      <w:r w:rsidR="00AF2EBC">
        <w:t>о</w:t>
      </w:r>
      <w:r w:rsidR="00FD3638" w:rsidRPr="00886722">
        <w:t>беспечение бюджетной устойчивости и экономической стабильности.</w:t>
      </w:r>
    </w:p>
    <w:p w:rsidR="00FD3638" w:rsidRPr="00886722" w:rsidRDefault="00FD3638" w:rsidP="00B216EB">
      <w:pPr>
        <w:pStyle w:val="ConsPlusNormal"/>
        <w:widowControl w:val="0"/>
        <w:ind w:firstLine="709"/>
        <w:jc w:val="both"/>
      </w:pPr>
      <w:r w:rsidRPr="00886722">
        <w:t>Данная задача включает в себя несколько составляющих:</w:t>
      </w:r>
    </w:p>
    <w:p w:rsidR="00FD3638" w:rsidRPr="00886722" w:rsidRDefault="00FD3638" w:rsidP="00B216EB">
      <w:pPr>
        <w:pStyle w:val="ConsPlusNormal"/>
        <w:widowControl w:val="0"/>
        <w:ind w:firstLine="709"/>
        <w:jc w:val="both"/>
      </w:pPr>
      <w:r w:rsidRPr="00886722">
        <w:t>сохранение относительно постоянного уровня расходов</w:t>
      </w:r>
      <w:r w:rsidR="00535042" w:rsidRPr="00886722">
        <w:t xml:space="preserve"> бюджета города</w:t>
      </w:r>
      <w:r w:rsidR="00AF2EBC">
        <w:t xml:space="preserve"> Ставрополя</w:t>
      </w:r>
      <w:r w:rsidRPr="00886722">
        <w:t xml:space="preserve"> в условиях взлетов и падений доходов</w:t>
      </w:r>
      <w:r w:rsidR="00535042" w:rsidRPr="00886722">
        <w:t xml:space="preserve"> бюджета города</w:t>
      </w:r>
      <w:r w:rsidR="00AF2EBC">
        <w:t xml:space="preserve"> </w:t>
      </w:r>
      <w:r w:rsidR="00AF2EBC">
        <w:lastRenderedPageBreak/>
        <w:t>Ставрополя</w:t>
      </w:r>
      <w:r w:rsidRPr="00886722">
        <w:t>;</w:t>
      </w:r>
    </w:p>
    <w:p w:rsidR="00FD3638" w:rsidRPr="00CA75DA" w:rsidRDefault="00FD3638" w:rsidP="00B216EB">
      <w:pPr>
        <w:pStyle w:val="ConsPlusNormal"/>
        <w:widowControl w:val="0"/>
        <w:ind w:firstLine="709"/>
        <w:jc w:val="both"/>
      </w:pPr>
      <w:r w:rsidRPr="00886722">
        <w:t>ограничение роста расходов бюджетной системы, не обеспеченных ста</w:t>
      </w:r>
      <w:r w:rsidR="00886722">
        <w:t>бильными доходными источниками;</w:t>
      </w:r>
    </w:p>
    <w:p w:rsidR="007A691B" w:rsidRPr="007A691B" w:rsidRDefault="007A691B" w:rsidP="00B216EB">
      <w:pPr>
        <w:pStyle w:val="ConsPlusNormal"/>
        <w:widowControl w:val="0"/>
        <w:ind w:firstLine="709"/>
        <w:jc w:val="both"/>
      </w:pPr>
      <w:r w:rsidRPr="007A691B">
        <w:t>поддержание объема муниципального долга на экономически безопасном уровне, позволяющего обеспечивать привлечение заемных средств при наличии реальной возможности обслуживания и погашения принятых обязательств</w:t>
      </w:r>
      <w:r w:rsidR="00B216EB">
        <w:t>;</w:t>
      </w:r>
    </w:p>
    <w:p w:rsidR="008D4B44" w:rsidRPr="00C911C2" w:rsidRDefault="008D4B44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1C2">
        <w:rPr>
          <w:rFonts w:ascii="Times New Roman" w:hAnsi="Times New Roman"/>
          <w:sz w:val="28"/>
          <w:szCs w:val="28"/>
          <w:lang w:eastAsia="ru-RU"/>
        </w:rPr>
        <w:t>4</w:t>
      </w:r>
      <w:r w:rsidR="006239C3">
        <w:rPr>
          <w:rFonts w:ascii="Times New Roman" w:hAnsi="Times New Roman"/>
          <w:sz w:val="28"/>
          <w:szCs w:val="28"/>
          <w:lang w:eastAsia="ru-RU"/>
        </w:rPr>
        <w:t>)</w:t>
      </w:r>
      <w:r w:rsidRPr="00C911C2">
        <w:rPr>
          <w:rFonts w:ascii="Times New Roman" w:hAnsi="Times New Roman"/>
          <w:sz w:val="28"/>
          <w:szCs w:val="28"/>
          <w:lang w:eastAsia="ru-RU"/>
        </w:rPr>
        <w:t> </w:t>
      </w:r>
      <w:r w:rsidR="00B216EB">
        <w:rPr>
          <w:rFonts w:ascii="Times New Roman" w:hAnsi="Times New Roman"/>
          <w:sz w:val="28"/>
          <w:szCs w:val="28"/>
          <w:lang w:eastAsia="ru-RU"/>
        </w:rPr>
        <w:t>п</w:t>
      </w:r>
      <w:r w:rsidR="00E1549B" w:rsidRPr="00C911C2">
        <w:rPr>
          <w:rFonts w:ascii="Times New Roman" w:hAnsi="Times New Roman"/>
          <w:sz w:val="28"/>
          <w:szCs w:val="28"/>
          <w:lang w:eastAsia="ru-RU"/>
        </w:rPr>
        <w:t xml:space="preserve">овышение качества </w:t>
      </w:r>
      <w:r w:rsidRPr="00C911C2">
        <w:rPr>
          <w:rFonts w:ascii="Times New Roman" w:hAnsi="Times New Roman"/>
          <w:sz w:val="28"/>
          <w:szCs w:val="28"/>
          <w:lang w:eastAsia="ru-RU"/>
        </w:rPr>
        <w:t>муниципальных услуг (работ).</w:t>
      </w:r>
    </w:p>
    <w:p w:rsidR="00C911C2" w:rsidRPr="00C911C2" w:rsidRDefault="00C911C2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11C2">
        <w:rPr>
          <w:rFonts w:ascii="Times New Roman" w:hAnsi="Times New Roman"/>
          <w:sz w:val="28"/>
          <w:szCs w:val="28"/>
          <w:lang w:eastAsia="ru-RU"/>
        </w:rPr>
        <w:t xml:space="preserve">Развитие сферы муниципальных услуг (работ) </w:t>
      </w:r>
      <w:r w:rsidRPr="00C911C2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 быть ориентировано на повышение </w:t>
      </w:r>
      <w:r w:rsidR="003F3889">
        <w:rPr>
          <w:rFonts w:ascii="Times New Roman" w:hAnsi="Times New Roman"/>
          <w:sz w:val="28"/>
          <w:szCs w:val="28"/>
          <w:shd w:val="clear" w:color="auto" w:fill="FFFFFF"/>
        </w:rPr>
        <w:t xml:space="preserve">их </w:t>
      </w:r>
      <w:r w:rsidRPr="00C911C2">
        <w:rPr>
          <w:rFonts w:ascii="Times New Roman" w:hAnsi="Times New Roman"/>
          <w:sz w:val="28"/>
          <w:szCs w:val="28"/>
          <w:shd w:val="clear" w:color="auto" w:fill="FFFFFF"/>
        </w:rPr>
        <w:t>доступности для населения и качества предоставления.</w:t>
      </w:r>
    </w:p>
    <w:p w:rsidR="00C911C2" w:rsidRPr="00C911C2" w:rsidRDefault="00C911C2" w:rsidP="00B216EB">
      <w:pPr>
        <w:pStyle w:val="ConsPlusNormal"/>
        <w:widowControl w:val="0"/>
        <w:ind w:firstLine="709"/>
        <w:jc w:val="both"/>
      </w:pPr>
      <w:r w:rsidRPr="00C911C2">
        <w:t xml:space="preserve">Решение задачи повышения качества предоставляемых населению муниципальных услуг (работ) в долгосрочной перспективе должно осуществляться не за счет роста расходов, а за счет повышения эффективности деятельности </w:t>
      </w:r>
      <w:r w:rsidR="003F3889" w:rsidRPr="00C911C2">
        <w:t xml:space="preserve">муниципальных </w:t>
      </w:r>
      <w:r w:rsidR="003F3889">
        <w:t xml:space="preserve">учреждений </w:t>
      </w:r>
      <w:r w:rsidRPr="00C911C2">
        <w:t xml:space="preserve">и реорганизации неэффективных учреждений. Бюджетные средства, высвобождаемые в результате реализации данных мер, должны использоваться на повышение оплаты труда работникам бюджетной сферы, но только при условии роста производительности труда в бюджетном секторе. </w:t>
      </w:r>
    </w:p>
    <w:p w:rsidR="00C911C2" w:rsidRPr="00C911C2" w:rsidRDefault="00C911C2" w:rsidP="00B216EB">
      <w:pPr>
        <w:pStyle w:val="ConsPlusNormal"/>
        <w:widowControl w:val="0"/>
        <w:ind w:firstLine="709"/>
        <w:jc w:val="both"/>
      </w:pPr>
      <w:r w:rsidRPr="00C911C2">
        <w:t>Данная задача включает в себя несколько составляющих:</w:t>
      </w:r>
    </w:p>
    <w:p w:rsidR="00302287" w:rsidRPr="00C911C2" w:rsidRDefault="00302287" w:rsidP="00B216EB">
      <w:pPr>
        <w:pStyle w:val="ConsPlusNormal"/>
        <w:widowControl w:val="0"/>
        <w:ind w:firstLine="709"/>
        <w:jc w:val="both"/>
      </w:pPr>
      <w:r w:rsidRPr="00C911C2">
        <w:t>нормативный подход к расчету субсидии на обеспечение муниципального задания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302287" w:rsidRPr="00C911C2" w:rsidRDefault="00302287" w:rsidP="00B216EB">
      <w:pPr>
        <w:pStyle w:val="ConsPlusNormal"/>
        <w:widowControl w:val="0"/>
        <w:ind w:firstLine="709"/>
        <w:jc w:val="both"/>
      </w:pPr>
      <w:r w:rsidRPr="00C911C2">
        <w:t>формирование муниципальных заданий на основании ведомственных перечней муниципальных услуг (работ), составленных в соответствии с базовыми (отраслевыми) перечнями государственных и муниципальных услуг (работ);</w:t>
      </w:r>
    </w:p>
    <w:p w:rsidR="00302287" w:rsidRPr="00C911C2" w:rsidRDefault="00302287" w:rsidP="00B216EB">
      <w:pPr>
        <w:pStyle w:val="ConsPlusNormal"/>
        <w:widowControl w:val="0"/>
        <w:ind w:firstLine="709"/>
        <w:jc w:val="both"/>
      </w:pPr>
      <w:r w:rsidRPr="00C911C2">
        <w:t>формирование параметров муниципальных заданий в соответствии с целями и ожидаемыми результатами соответствующих муниципальных программ, включение в муниципальные программы сводных показателей муниципальных заданий, характеризующих качество и объем оказываемых муниципальных услуг (выполняемых работ), рассчитанных на основе утвержденных муниципальных заданий в отношении муниципальных учреждений, что обеспечит взаимосвязь муниципальных заданий с целями и результатами муниципальных программ, в рамках которых осуществляется выполнение муниципального задания;</w:t>
      </w:r>
    </w:p>
    <w:p w:rsidR="00302287" w:rsidRPr="00491BC8" w:rsidRDefault="00302287" w:rsidP="00B216EB">
      <w:pPr>
        <w:pStyle w:val="ConsPlusNormal"/>
        <w:widowControl w:val="0"/>
        <w:ind w:firstLine="709"/>
        <w:jc w:val="both"/>
      </w:pPr>
      <w:r w:rsidRPr="00491BC8">
        <w:t>разработка систем оценки качества и реальных объемов оказания муниципальных услуг;</w:t>
      </w:r>
    </w:p>
    <w:p w:rsidR="00302287" w:rsidRPr="00491BC8" w:rsidRDefault="00302287" w:rsidP="00B216EB">
      <w:pPr>
        <w:pStyle w:val="ConsPlusNormal"/>
        <w:widowControl w:val="0"/>
        <w:ind w:firstLine="709"/>
        <w:jc w:val="both"/>
      </w:pPr>
      <w:r w:rsidRPr="00491BC8">
        <w:t>внедрение элементов управляемой конкуренции в проце</w:t>
      </w:r>
      <w:r w:rsidR="00447D0C">
        <w:t>сс оказания муниципальных услуг</w:t>
      </w:r>
      <w:r w:rsidR="00B216EB">
        <w:t>;</w:t>
      </w:r>
    </w:p>
    <w:p w:rsidR="00E1549B" w:rsidRPr="00C57883" w:rsidRDefault="006239C3" w:rsidP="00B216EB">
      <w:pPr>
        <w:pStyle w:val="ConsPlusNormal"/>
        <w:widowControl w:val="0"/>
        <w:ind w:firstLine="709"/>
        <w:jc w:val="both"/>
      </w:pPr>
      <w:r>
        <w:t>5)</w:t>
      </w:r>
      <w:r w:rsidR="00C57883" w:rsidRPr="00C57883">
        <w:t xml:space="preserve"> </w:t>
      </w:r>
      <w:r w:rsidR="00B216EB">
        <w:t>о</w:t>
      </w:r>
      <w:r w:rsidR="00E1549B" w:rsidRPr="00C57883">
        <w:t xml:space="preserve">беспечение прозрачности и открытости бюджета </w:t>
      </w:r>
      <w:r w:rsidR="00D80502">
        <w:t xml:space="preserve">города Ставрополя </w:t>
      </w:r>
      <w:r w:rsidR="00E1549B" w:rsidRPr="00C57883">
        <w:t>и бюджетного процесса для общества.</w:t>
      </w:r>
    </w:p>
    <w:p w:rsidR="00E1549B" w:rsidRPr="000D7066" w:rsidRDefault="00E1549B" w:rsidP="00B216EB">
      <w:pPr>
        <w:pStyle w:val="ConsPlusNormal"/>
        <w:widowControl w:val="0"/>
        <w:ind w:firstLine="709"/>
        <w:jc w:val="both"/>
      </w:pPr>
      <w:r w:rsidRPr="0081543D">
        <w:lastRenderedPageBreak/>
        <w:t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данную политику, разделяет цели, механизмы и принципы ее реализации. Поэтому в долгосрочном периоде на постоянной основе должны применяться механизмы обеспечения публичности и доступности информации по реализации бюджетной политики за счет регулярной публикации информации о бюджет</w:t>
      </w:r>
      <w:r w:rsidR="00606029">
        <w:t>е города</w:t>
      </w:r>
      <w:r w:rsidRPr="0081543D">
        <w:t xml:space="preserve"> </w:t>
      </w:r>
      <w:r w:rsidR="004A34BA">
        <w:t xml:space="preserve">Ставрополя </w:t>
      </w:r>
      <w:r w:rsidRPr="0081543D">
        <w:t xml:space="preserve">для </w:t>
      </w:r>
      <w:r w:rsidRPr="000D7066">
        <w:t>граждан.</w:t>
      </w:r>
    </w:p>
    <w:p w:rsidR="000D7066" w:rsidRPr="000D7066" w:rsidRDefault="000D7066" w:rsidP="00B216EB">
      <w:pPr>
        <w:pStyle w:val="ConsPlusNormal"/>
        <w:widowControl w:val="0"/>
        <w:ind w:firstLine="709"/>
        <w:jc w:val="both"/>
      </w:pPr>
      <w:r w:rsidRPr="000D7066">
        <w:t xml:space="preserve">Формирование бюджета </w:t>
      </w:r>
      <w:r w:rsidR="00D80502">
        <w:t xml:space="preserve">города Ставрополя </w:t>
      </w:r>
      <w:r w:rsidRPr="000D7066">
        <w:t xml:space="preserve">в программном формате также повышает степень прозрачности и открытости бюджета </w:t>
      </w:r>
      <w:r w:rsidR="00B216EB">
        <w:t xml:space="preserve">города Ставрополя </w:t>
      </w:r>
      <w:r w:rsidRPr="000D7066">
        <w:t>для общества посредством проведения общественного обсуждени</w:t>
      </w:r>
      <w:r w:rsidR="00606029">
        <w:t>я</w:t>
      </w:r>
      <w:r w:rsidRPr="000D7066">
        <w:t xml:space="preserve"> проектов муниципальных программ, хода и итогов их реализации</w:t>
      </w:r>
      <w:r w:rsidR="00B216EB">
        <w:t>;</w:t>
      </w:r>
    </w:p>
    <w:p w:rsidR="00897785" w:rsidRPr="00861086" w:rsidRDefault="006239C3" w:rsidP="00B216EB">
      <w:pPr>
        <w:pStyle w:val="ConsPlusNormal"/>
        <w:widowControl w:val="0"/>
        <w:ind w:firstLine="709"/>
        <w:jc w:val="both"/>
      </w:pPr>
      <w:r>
        <w:t>6)</w:t>
      </w:r>
      <w:r w:rsidR="00897785" w:rsidRPr="00861086">
        <w:t> </w:t>
      </w:r>
      <w:r w:rsidR="00B216EB">
        <w:t>п</w:t>
      </w:r>
      <w:r w:rsidR="00897785" w:rsidRPr="00861086">
        <w:t>овышение эффективности системы муниципального финансового контроля, внутреннего финансового контроля и внутреннего финансового аудита.</w:t>
      </w:r>
    </w:p>
    <w:p w:rsidR="00897785" w:rsidRPr="00031E5B" w:rsidRDefault="00897785" w:rsidP="00B216EB">
      <w:pPr>
        <w:pStyle w:val="ConsPlusNormal"/>
        <w:widowControl w:val="0"/>
        <w:ind w:firstLine="709"/>
        <w:jc w:val="both"/>
      </w:pPr>
      <w:r w:rsidRPr="00861086">
        <w:t>Развитие системы муниципального финансового контроля, контроля в сфере закупок, а также внутреннего финансового контроля и внутреннего финансового аудита будет способствовать сокращению нарушений законодательства о контрактной системе и повышению эффективности (результативности и экономности) бюджетных расходов.</w:t>
      </w:r>
    </w:p>
    <w:p w:rsidR="006146D1" w:rsidRDefault="00606029" w:rsidP="00B216EB">
      <w:pPr>
        <w:pStyle w:val="ConsPlusNormal"/>
        <w:widowControl w:val="0"/>
        <w:ind w:firstLine="709"/>
        <w:jc w:val="both"/>
      </w:pPr>
      <w:r>
        <w:t xml:space="preserve">Реализация бюджетного прогноза </w:t>
      </w:r>
      <w:r w:rsidR="006146D1">
        <w:t xml:space="preserve">города Ставрополя </w:t>
      </w:r>
      <w:r>
        <w:t>сопряжена с</w:t>
      </w:r>
      <w:r w:rsidR="006146D1">
        <w:t xml:space="preserve"> </w:t>
      </w:r>
      <w:r>
        <w:t>риск</w:t>
      </w:r>
      <w:r w:rsidR="006146D1">
        <w:t>ом изменения бюджетного и налогового законодательства Российской Федерации в период его реализации.</w:t>
      </w:r>
    </w:p>
    <w:p w:rsidR="00517296" w:rsidRDefault="00517296" w:rsidP="00B216EB">
      <w:pPr>
        <w:pStyle w:val="ConsPlusNormal"/>
        <w:widowControl w:val="0"/>
        <w:ind w:firstLine="709"/>
        <w:jc w:val="both"/>
      </w:pPr>
    </w:p>
    <w:p w:rsidR="007451D8" w:rsidRPr="00B216EB" w:rsidRDefault="00B216EB" w:rsidP="00B216EB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451D8" w:rsidRPr="00B216EB">
        <w:rPr>
          <w:rFonts w:ascii="Times New Roman" w:hAnsi="Times New Roman"/>
          <w:sz w:val="28"/>
          <w:szCs w:val="28"/>
        </w:rPr>
        <w:t xml:space="preserve">Прогноз основных характеристик бюджета города Ставрополя </w:t>
      </w:r>
    </w:p>
    <w:p w:rsidR="00E97DAD" w:rsidRPr="007451D8" w:rsidRDefault="007451D8" w:rsidP="00B216EB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/>
          <w:sz w:val="28"/>
          <w:szCs w:val="28"/>
        </w:rPr>
      </w:pPr>
      <w:r w:rsidRPr="007451D8">
        <w:rPr>
          <w:rFonts w:ascii="Times New Roman" w:hAnsi="Times New Roman"/>
          <w:sz w:val="28"/>
          <w:szCs w:val="28"/>
        </w:rPr>
        <w:t xml:space="preserve">на </w:t>
      </w:r>
      <w:r w:rsidR="00E97DAD" w:rsidRPr="007451D8">
        <w:rPr>
          <w:rFonts w:ascii="Times New Roman" w:hAnsi="Times New Roman"/>
          <w:sz w:val="28"/>
          <w:szCs w:val="28"/>
        </w:rPr>
        <w:t>период до 2022 года</w:t>
      </w:r>
    </w:p>
    <w:p w:rsidR="00132864" w:rsidRDefault="00132864" w:rsidP="00B216EB">
      <w:pPr>
        <w:pStyle w:val="ConsPlusNormal"/>
        <w:widowControl w:val="0"/>
        <w:jc w:val="both"/>
        <w:rPr>
          <w:color w:val="FF0000"/>
        </w:rPr>
      </w:pPr>
    </w:p>
    <w:p w:rsidR="004F3605" w:rsidRDefault="004F3605" w:rsidP="006239C3">
      <w:pPr>
        <w:pStyle w:val="ConsPlusNormal"/>
        <w:widowControl w:val="0"/>
        <w:ind w:firstLine="709"/>
        <w:jc w:val="both"/>
      </w:pPr>
      <w:r w:rsidRPr="005543FA">
        <w:t>Исходя из необходимости решения перечисленных</w:t>
      </w:r>
      <w:r w:rsidR="00B216EB">
        <w:t xml:space="preserve"> в разделе 2</w:t>
      </w:r>
      <w:r w:rsidRPr="005543FA">
        <w:t xml:space="preserve"> задач осуществлен прогноз основных характеристик бюджета города Ставрополя на период до 2022 года, пр</w:t>
      </w:r>
      <w:r w:rsidR="00B216EB">
        <w:t>иведенный</w:t>
      </w:r>
      <w:r w:rsidRPr="005543FA">
        <w:t xml:space="preserve"> в приложении 1 к бюджетному прогнозу города Ставрополя.</w:t>
      </w:r>
    </w:p>
    <w:p w:rsidR="000D5B40" w:rsidRDefault="000D5B40" w:rsidP="006239C3">
      <w:pPr>
        <w:pStyle w:val="ConsPlusNormal"/>
        <w:widowControl w:val="0"/>
        <w:ind w:firstLine="709"/>
        <w:jc w:val="both"/>
      </w:pPr>
      <w:r w:rsidRPr="000D5B40">
        <w:t>Общие подходы к оценкам основных характеристик и отдельных показателей бюджета</w:t>
      </w:r>
      <w:r>
        <w:t xml:space="preserve"> города Ставрополя </w:t>
      </w:r>
      <w:r w:rsidRPr="000D5B40">
        <w:t>на долгосрочный период:</w:t>
      </w:r>
    </w:p>
    <w:p w:rsidR="004F3605" w:rsidRPr="00E97DAD" w:rsidRDefault="000D5B40" w:rsidP="006239C3">
      <w:pPr>
        <w:pStyle w:val="ConsPlusNormal"/>
        <w:widowControl w:val="0"/>
        <w:ind w:firstLine="709"/>
        <w:jc w:val="both"/>
        <w:rPr>
          <w:color w:val="FF0000"/>
        </w:rPr>
      </w:pPr>
      <w:r>
        <w:t>1) п</w:t>
      </w:r>
      <w:r w:rsidR="004F3605" w:rsidRPr="005543FA">
        <w:t>ри определении основных характеристик бюджета города Ставрополя по доходам использовались основные параметры прогноза социально-экономического развития города Ставрополя на период до 2022</w:t>
      </w:r>
      <w:r>
        <w:t> </w:t>
      </w:r>
      <w:r w:rsidR="004F3605" w:rsidRPr="005543FA">
        <w:t>года, разработанные на основе анализа тенденций развития основных секторов экономики, основные подходы налоговой и бюджетной политики города Ст</w:t>
      </w:r>
      <w:r w:rsidR="00B216EB">
        <w:t>аврополя на долгосрочный период;</w:t>
      </w:r>
      <w:r w:rsidR="004F3605" w:rsidRPr="0060368A">
        <w:t xml:space="preserve"> </w:t>
      </w:r>
    </w:p>
    <w:p w:rsidR="000D5B40" w:rsidRPr="000D5B40" w:rsidRDefault="000D5B40" w:rsidP="006239C3">
      <w:pPr>
        <w:pStyle w:val="ConsPlusNormal"/>
        <w:widowControl w:val="0"/>
        <w:ind w:firstLine="709"/>
        <w:jc w:val="both"/>
      </w:pPr>
      <w:r>
        <w:t>2) </w:t>
      </w:r>
      <w:r w:rsidRPr="000D5B40">
        <w:t>в расчетах налоговых поступлений учтены изменения налогового законодательства в части:</w:t>
      </w:r>
    </w:p>
    <w:p w:rsidR="000D5B40" w:rsidRPr="000D5B40" w:rsidRDefault="000D5B4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B40">
        <w:rPr>
          <w:rFonts w:ascii="Times New Roman" w:hAnsi="Times New Roman"/>
          <w:sz w:val="28"/>
          <w:szCs w:val="28"/>
          <w:lang w:eastAsia="ru-RU"/>
        </w:rPr>
        <w:t xml:space="preserve">введения и реализации новых принципов налогообложения по налогу на имущество физических лиц с 01 января 2016 года, исчисление налога </w:t>
      </w:r>
      <w:r w:rsidRPr="000D5B40">
        <w:rPr>
          <w:rFonts w:ascii="Times New Roman" w:hAnsi="Times New Roman"/>
          <w:sz w:val="28"/>
          <w:szCs w:val="28"/>
          <w:lang w:eastAsia="ru-RU"/>
        </w:rPr>
        <w:lastRenderedPageBreak/>
        <w:t>физическим лицам в 2017 году будет производиться исходя из кадастровой стоимости объектов недвижимости;</w:t>
      </w:r>
    </w:p>
    <w:p w:rsidR="000D5B40" w:rsidRPr="000D5B40" w:rsidRDefault="000D5B40" w:rsidP="00B216EB">
      <w:pPr>
        <w:pStyle w:val="ConsPlusNormal"/>
        <w:widowControl w:val="0"/>
        <w:ind w:firstLine="709"/>
        <w:jc w:val="both"/>
      </w:pPr>
      <w:r w:rsidRPr="000D5B40">
        <w:t>установления переходного периода, начиная с 2017 года до применения государственной кадастровой оценки объектов недвижимости, и использовани</w:t>
      </w:r>
      <w:r w:rsidR="00B216EB">
        <w:t>я</w:t>
      </w:r>
      <w:r w:rsidRPr="000D5B40">
        <w:t xml:space="preserve"> для целей налогообложения наименьшей кадастровой стоимости недвижимости в соответствии с положениями Федерального </w:t>
      </w:r>
      <w:hyperlink r:id="rId9" w:history="1">
        <w:r w:rsidRPr="000D5B40">
          <w:t>закона</w:t>
        </w:r>
      </w:hyperlink>
      <w:r w:rsidRPr="000D5B40">
        <w:t xml:space="preserve"> от </w:t>
      </w:r>
      <w:r w:rsidR="00B216EB">
        <w:t>0</w:t>
      </w:r>
      <w:r w:rsidRPr="000D5B40">
        <w:t xml:space="preserve">3 июля </w:t>
      </w:r>
      <w:smartTag w:uri="urn:schemas-microsoft-com:office:smarttags" w:element="metricconverter">
        <w:smartTagPr>
          <w:attr w:name="ProductID" w:val="2016 г"/>
        </w:smartTagPr>
        <w:r w:rsidRPr="000D5B40">
          <w:t>2016 г</w:t>
        </w:r>
      </w:smartTag>
      <w:r w:rsidRPr="000D5B40">
        <w:t>. № 360-ФЗ «О внесении изменений в отдельные законодательные акты Российской Федерации»;</w:t>
      </w:r>
    </w:p>
    <w:p w:rsidR="000D5B40" w:rsidRPr="000D5B40" w:rsidRDefault="000D5B40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B40">
        <w:rPr>
          <w:rFonts w:ascii="Times New Roman" w:hAnsi="Times New Roman"/>
          <w:sz w:val="28"/>
          <w:szCs w:val="28"/>
          <w:lang w:eastAsia="ru-RU"/>
        </w:rPr>
        <w:t>продления действия системы налогообложения в виде единого налога</w:t>
      </w:r>
      <w:r w:rsidR="004A34BA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>на вмененный доход для отдельных видов деятельности до</w:t>
      </w:r>
      <w:r w:rsidR="006239C3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>01</w:t>
      </w:r>
      <w:r w:rsidR="004A34BA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>января</w:t>
      </w:r>
      <w:r w:rsidR="004A34BA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>2021</w:t>
      </w:r>
      <w:r w:rsidR="00B216EB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 xml:space="preserve">года в соответствии с Федеральным </w:t>
      </w:r>
      <w:hyperlink r:id="rId10" w:history="1">
        <w:r w:rsidRPr="000D5B40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D5B40">
        <w:rPr>
          <w:rFonts w:ascii="Times New Roman" w:hAnsi="Times New Roman"/>
          <w:sz w:val="28"/>
          <w:szCs w:val="28"/>
          <w:lang w:eastAsia="ru-RU"/>
        </w:rPr>
        <w:t xml:space="preserve"> от</w:t>
      </w:r>
      <w:r w:rsidR="006239C3">
        <w:rPr>
          <w:rFonts w:ascii="Times New Roman" w:hAnsi="Times New Roman"/>
          <w:sz w:val="28"/>
          <w:szCs w:val="28"/>
          <w:lang w:eastAsia="ru-RU"/>
        </w:rPr>
        <w:t> 0</w:t>
      </w:r>
      <w:r w:rsidRPr="000D5B40">
        <w:rPr>
          <w:rFonts w:ascii="Times New Roman" w:hAnsi="Times New Roman"/>
          <w:sz w:val="28"/>
          <w:szCs w:val="28"/>
          <w:lang w:eastAsia="ru-RU"/>
        </w:rPr>
        <w:t>2</w:t>
      </w:r>
      <w:r w:rsidR="006239C3">
        <w:rPr>
          <w:rFonts w:ascii="Times New Roman" w:hAnsi="Times New Roman"/>
          <w:sz w:val="28"/>
          <w:szCs w:val="28"/>
          <w:lang w:eastAsia="ru-RU"/>
        </w:rPr>
        <w:t> </w:t>
      </w:r>
      <w:r w:rsidRPr="000D5B40">
        <w:rPr>
          <w:rFonts w:ascii="Times New Roman" w:hAnsi="Times New Roman"/>
          <w:sz w:val="28"/>
          <w:szCs w:val="28"/>
          <w:lang w:eastAsia="ru-RU"/>
        </w:rPr>
        <w:t>июня</w:t>
      </w:r>
      <w:r w:rsidR="006239C3">
        <w:rPr>
          <w:rFonts w:ascii="Times New Roman" w:hAnsi="Times New Roman"/>
          <w:sz w:val="28"/>
          <w:szCs w:val="28"/>
          <w:lang w:eastAsia="ru-RU"/>
        </w:rPr>
        <w:t> </w:t>
      </w:r>
      <w:smartTag w:uri="urn:schemas-microsoft-com:office:smarttags" w:element="metricconverter">
        <w:smartTagPr>
          <w:attr w:name="ProductID" w:val="2016 г"/>
        </w:smartTagPr>
        <w:r w:rsidRPr="000D5B40">
          <w:rPr>
            <w:rFonts w:ascii="Times New Roman" w:hAnsi="Times New Roman"/>
            <w:sz w:val="28"/>
            <w:szCs w:val="28"/>
            <w:lang w:eastAsia="ru-RU"/>
          </w:rPr>
          <w:t>2016 г</w:t>
        </w:r>
      </w:smartTag>
      <w:r w:rsidRPr="000D5B40">
        <w:rPr>
          <w:rFonts w:ascii="Times New Roman" w:hAnsi="Times New Roman"/>
          <w:sz w:val="28"/>
          <w:szCs w:val="28"/>
          <w:lang w:eastAsia="ru-RU"/>
        </w:rPr>
        <w:t>. № 178-ФЗ «О внесении изменений в статью 346.32 части второй Налогового кодекса Российской Федерации и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деятельности»;</w:t>
      </w:r>
    </w:p>
    <w:p w:rsidR="000D5B40" w:rsidRPr="000D5B40" w:rsidRDefault="000D5B40" w:rsidP="00B216EB">
      <w:pPr>
        <w:pStyle w:val="ConsPlusNormal"/>
        <w:widowControl w:val="0"/>
        <w:ind w:firstLine="709"/>
        <w:jc w:val="both"/>
      </w:pPr>
      <w:r w:rsidRPr="000D5B40">
        <w:t xml:space="preserve">предоставления права субъектам Российской Федерации устанавливать для впервые зарегистрированных индивидуальных предпринимателей, перешедших на упрощенную систему налогообложения и патентную систему налогообложения и осуществляющих деятельность в производственной, социальной,  научной сферах и сфере бытовых услуг «налоговые каникулы» в виде налоговой ставки в размере 0 процентов на 2015 - 2020 годы в соответствии с Федеральным </w:t>
      </w:r>
      <w:hyperlink r:id="rId11" w:history="1">
        <w:r w:rsidRPr="000D5B40">
          <w:t>законом</w:t>
        </w:r>
      </w:hyperlink>
      <w:r w:rsidRPr="000D5B40">
        <w:t xml:space="preserve"> от 29 декабря </w:t>
      </w:r>
      <w:smartTag w:uri="urn:schemas-microsoft-com:office:smarttags" w:element="metricconverter">
        <w:smartTagPr>
          <w:attr w:name="ProductID" w:val="2014 г"/>
        </w:smartTagPr>
        <w:r w:rsidRPr="000D5B40">
          <w:t>2014 г</w:t>
        </w:r>
      </w:smartTag>
      <w:r w:rsidR="004A34BA">
        <w:t>. № 477-ФЗ «О </w:t>
      </w:r>
      <w:r w:rsidRPr="000D5B40">
        <w:t>внесении изменений в часть вторую Налогового кодекса Российской Федерации»;</w:t>
      </w:r>
    </w:p>
    <w:p w:rsidR="000D5B40" w:rsidRPr="000D5B40" w:rsidRDefault="000D5B40" w:rsidP="00B216EB">
      <w:pPr>
        <w:pStyle w:val="ConsPlusNormal"/>
        <w:widowControl w:val="0"/>
        <w:ind w:firstLine="709"/>
        <w:jc w:val="both"/>
      </w:pPr>
      <w:r w:rsidRPr="000D5B40">
        <w:t xml:space="preserve">установления нового порядка определения цены земельного участка в размере его кадастровой стоимости в соответствии с постановлением Правительства Ставропольского края от 04 сентября </w:t>
      </w:r>
      <w:smartTag w:uri="urn:schemas-microsoft-com:office:smarttags" w:element="metricconverter">
        <w:smartTagPr>
          <w:attr w:name="ProductID" w:val="2015 г"/>
        </w:smartTagPr>
        <w:r w:rsidRPr="000D5B40">
          <w:t>2015 г</w:t>
        </w:r>
      </w:smartTag>
      <w:r w:rsidRPr="000D5B40">
        <w:t>. № 381-п «Об</w:t>
      </w:r>
      <w:r w:rsidR="004A34BA">
        <w:t xml:space="preserve"> </w:t>
      </w:r>
      <w:r w:rsidRPr="000D5B40">
        <w:t>утверждении Порядка определения цены земельного участка, находящегося в государственной собственности Ставропольского края, и земельного участка, государственная собственность на который не разграничена, расположенного на территории Ставропольского края при заключении договора купли-продажи земельного участка без проведения торгов»;</w:t>
      </w:r>
    </w:p>
    <w:p w:rsidR="000D5B40" w:rsidRDefault="000D5B40" w:rsidP="00B216EB">
      <w:pPr>
        <w:pStyle w:val="ConsPlusNormal"/>
        <w:widowControl w:val="0"/>
        <w:ind w:firstLine="709"/>
        <w:jc w:val="both"/>
      </w:pPr>
      <w:r>
        <w:t xml:space="preserve">3) учтены </w:t>
      </w:r>
      <w:r w:rsidRPr="000D5B40">
        <w:t>изменения бюджетного законодательства в части применения главными администраторами доходов методик прогнозирования</w:t>
      </w:r>
      <w:r w:rsidR="006239C3">
        <w:t xml:space="preserve"> </w:t>
      </w:r>
      <w:r w:rsidRPr="000D5B40">
        <w:t>поступлений доходов в бюджеты бюджетной системы Российской</w:t>
      </w:r>
      <w:r w:rsidR="00532C54">
        <w:t xml:space="preserve"> </w:t>
      </w:r>
      <w:r w:rsidRPr="000D5B40">
        <w:t>Федерации, разработанных в соответствии с требованиями, установленными постановлением Правительства Российской Федерации от</w:t>
      </w:r>
      <w:r w:rsidR="006239C3">
        <w:t xml:space="preserve"> </w:t>
      </w:r>
      <w:r w:rsidRPr="000D5B40">
        <w:t>23</w:t>
      </w:r>
      <w:r w:rsidR="006239C3">
        <w:t> июня </w:t>
      </w:r>
      <w:smartTag w:uri="urn:schemas-microsoft-com:office:smarttags" w:element="metricconverter">
        <w:smartTagPr>
          <w:attr w:name="ProductID" w:val="2016 г"/>
        </w:smartTagPr>
        <w:r w:rsidRPr="000D5B40">
          <w:t>2016 г</w:t>
        </w:r>
      </w:smartTag>
      <w:r w:rsidRPr="000D5B40">
        <w:t>. № 574 «Об общих требованиях к методике прогнозирования поступлений доходов в бюджеты бюджетно</w:t>
      </w:r>
      <w:r>
        <w:t>й системы Российской Федерации»;</w:t>
      </w:r>
    </w:p>
    <w:p w:rsidR="000D5B40" w:rsidRDefault="000D5B40" w:rsidP="00B216EB">
      <w:pPr>
        <w:pStyle w:val="ConsPlusNormal"/>
        <w:widowControl w:val="0"/>
        <w:ind w:firstLine="709"/>
        <w:jc w:val="both"/>
      </w:pPr>
      <w:r>
        <w:t xml:space="preserve">4) </w:t>
      </w:r>
      <w:r w:rsidR="00B216EB">
        <w:t xml:space="preserve">учтены </w:t>
      </w:r>
      <w:r>
        <w:t>безвозмездные поступления из бюджета Ставропольского края (субсидии, субвенции и иные межбюджетные трансферты) в объемах, предусмотренных проектом закона о краевом бюджете</w:t>
      </w:r>
      <w:r w:rsidR="00E85AAA">
        <w:t xml:space="preserve"> на 2017 год и плановый период 2018 и 2019 годов, </w:t>
      </w:r>
      <w:r w:rsidR="000D652C">
        <w:t xml:space="preserve">на </w:t>
      </w:r>
      <w:r>
        <w:t xml:space="preserve">2020 - 2022 годы просчитаны на </w:t>
      </w:r>
      <w:r>
        <w:lastRenderedPageBreak/>
        <w:t>уровне 2019 года;</w:t>
      </w:r>
    </w:p>
    <w:p w:rsidR="00E04DF9" w:rsidRDefault="00BB672D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B216EB">
        <w:rPr>
          <w:rFonts w:ascii="Times New Roman" w:hAnsi="Times New Roman"/>
          <w:sz w:val="28"/>
          <w:szCs w:val="28"/>
          <w:lang w:eastAsia="ru-RU"/>
        </w:rPr>
        <w:t xml:space="preserve">определен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E04DF9">
        <w:rPr>
          <w:rFonts w:ascii="Times New Roman" w:hAnsi="Times New Roman"/>
          <w:sz w:val="28"/>
          <w:szCs w:val="28"/>
          <w:lang w:eastAsia="ru-RU"/>
        </w:rPr>
        <w:t>бщий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расходов бюджета города</w:t>
      </w:r>
      <w:r w:rsidR="000D652C">
        <w:rPr>
          <w:rFonts w:ascii="Times New Roman" w:hAnsi="Times New Roman"/>
          <w:sz w:val="28"/>
          <w:szCs w:val="28"/>
          <w:lang w:eastAsia="ru-RU"/>
        </w:rPr>
        <w:t xml:space="preserve">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4DF9">
        <w:rPr>
          <w:rFonts w:ascii="Times New Roman" w:hAnsi="Times New Roman"/>
          <w:sz w:val="28"/>
          <w:szCs w:val="28"/>
          <w:lang w:eastAsia="ru-RU"/>
        </w:rPr>
        <w:t xml:space="preserve">исходя из прогнозируемого общего объема доходов бюджета города </w:t>
      </w:r>
      <w:r w:rsidR="000D652C">
        <w:rPr>
          <w:rFonts w:ascii="Times New Roman" w:hAnsi="Times New Roman"/>
          <w:sz w:val="28"/>
          <w:szCs w:val="28"/>
          <w:lang w:eastAsia="ru-RU"/>
        </w:rPr>
        <w:t xml:space="preserve">Ставрополя </w:t>
      </w:r>
      <w:r w:rsidR="00E04DF9">
        <w:rPr>
          <w:rFonts w:ascii="Times New Roman" w:hAnsi="Times New Roman"/>
          <w:sz w:val="28"/>
          <w:szCs w:val="28"/>
          <w:lang w:eastAsia="ru-RU"/>
        </w:rPr>
        <w:t xml:space="preserve">и необходимости </w:t>
      </w:r>
      <w:r w:rsidR="00E04DF9" w:rsidRPr="00E04DF9">
        <w:rPr>
          <w:rFonts w:ascii="Times New Roman" w:hAnsi="Times New Roman"/>
          <w:sz w:val="28"/>
          <w:szCs w:val="28"/>
          <w:lang w:eastAsia="ru-RU"/>
        </w:rPr>
        <w:t>поддержани</w:t>
      </w:r>
      <w:r w:rsidR="00E04DF9">
        <w:rPr>
          <w:rFonts w:ascii="Times New Roman" w:hAnsi="Times New Roman"/>
          <w:sz w:val="28"/>
          <w:szCs w:val="28"/>
          <w:lang w:eastAsia="ru-RU"/>
        </w:rPr>
        <w:t>я</w:t>
      </w:r>
      <w:r w:rsidR="00E04DF9" w:rsidRPr="00E04DF9">
        <w:rPr>
          <w:rFonts w:ascii="Times New Roman" w:hAnsi="Times New Roman"/>
          <w:sz w:val="28"/>
          <w:szCs w:val="28"/>
          <w:lang w:eastAsia="ru-RU"/>
        </w:rPr>
        <w:t xml:space="preserve"> объема долговой нагрузки на экономически безопасном уровне</w:t>
      </w:r>
      <w:r w:rsidR="00E04DF9">
        <w:rPr>
          <w:rFonts w:ascii="Times New Roman" w:hAnsi="Times New Roman"/>
          <w:sz w:val="28"/>
          <w:szCs w:val="28"/>
          <w:lang w:eastAsia="ru-RU"/>
        </w:rPr>
        <w:t>.</w:t>
      </w:r>
    </w:p>
    <w:p w:rsidR="00BB672D" w:rsidRPr="00BB672D" w:rsidRDefault="00BB672D" w:rsidP="00B216EB">
      <w:pPr>
        <w:pStyle w:val="ConsPlusNormal"/>
        <w:widowControl w:val="0"/>
        <w:ind w:firstLine="709"/>
        <w:jc w:val="both"/>
      </w:pPr>
      <w:r w:rsidRPr="00BB672D">
        <w:t xml:space="preserve">Формирование расходов бюджета города </w:t>
      </w:r>
      <w:r w:rsidR="000D652C">
        <w:t>Ставрополя</w:t>
      </w:r>
      <w:r w:rsidR="000D652C" w:rsidRPr="00BB672D">
        <w:t xml:space="preserve"> </w:t>
      </w:r>
      <w:r w:rsidRPr="00BB672D">
        <w:t>на период до 2022 года осуществлено с учетом следующих подходов:</w:t>
      </w:r>
    </w:p>
    <w:p w:rsidR="00BB672D" w:rsidRPr="00BB672D" w:rsidRDefault="00BB672D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72D">
        <w:rPr>
          <w:rFonts w:ascii="Times New Roman" w:hAnsi="Times New Roman"/>
          <w:sz w:val="28"/>
          <w:szCs w:val="28"/>
        </w:rPr>
        <w:t xml:space="preserve">обеспечение уровня заработной платы работникам муниципальных учреждений города Ставрополя в соответствии с соблюдением </w:t>
      </w:r>
      <w:r w:rsidR="000D652C">
        <w:rPr>
          <w:rFonts w:ascii="Times New Roman" w:hAnsi="Times New Roman"/>
          <w:sz w:val="28"/>
          <w:szCs w:val="28"/>
        </w:rPr>
        <w:t xml:space="preserve">норм  Федерального закона от 19 июня </w:t>
      </w:r>
      <w:r w:rsidRPr="00BB672D">
        <w:rPr>
          <w:rFonts w:ascii="Times New Roman" w:hAnsi="Times New Roman"/>
          <w:sz w:val="28"/>
          <w:szCs w:val="28"/>
        </w:rPr>
        <w:t>2000</w:t>
      </w:r>
      <w:r w:rsidR="000D652C">
        <w:rPr>
          <w:rFonts w:ascii="Times New Roman" w:hAnsi="Times New Roman"/>
          <w:sz w:val="28"/>
          <w:szCs w:val="28"/>
        </w:rPr>
        <w:t xml:space="preserve"> года</w:t>
      </w:r>
      <w:r w:rsidRPr="00BB672D">
        <w:rPr>
          <w:rFonts w:ascii="Times New Roman" w:hAnsi="Times New Roman"/>
          <w:sz w:val="28"/>
          <w:szCs w:val="28"/>
        </w:rPr>
        <w:t xml:space="preserve"> № 82-ФЗ «О минимальном размере оплаты труда», Указа Президента Российской Федерации </w:t>
      </w:r>
      <w:r w:rsidRPr="00BB672D">
        <w:rPr>
          <w:rFonts w:ascii="Times New Roman" w:hAnsi="Times New Roman"/>
          <w:sz w:val="28"/>
          <w:szCs w:val="28"/>
        </w:rPr>
        <w:br/>
        <w:t xml:space="preserve">от 07 мая </w:t>
      </w:r>
      <w:smartTag w:uri="urn:schemas-microsoft-com:office:smarttags" w:element="metricconverter">
        <w:smartTagPr>
          <w:attr w:name="ProductID" w:val="2012 г"/>
        </w:smartTagPr>
        <w:r w:rsidRPr="00BB672D">
          <w:rPr>
            <w:rFonts w:ascii="Times New Roman" w:hAnsi="Times New Roman"/>
            <w:sz w:val="28"/>
            <w:szCs w:val="28"/>
          </w:rPr>
          <w:t>2012 г</w:t>
        </w:r>
      </w:smartTag>
      <w:r w:rsidRPr="00BB672D">
        <w:rPr>
          <w:rFonts w:ascii="Times New Roman" w:hAnsi="Times New Roman"/>
          <w:sz w:val="28"/>
          <w:szCs w:val="28"/>
        </w:rPr>
        <w:t xml:space="preserve">. № 597 «О мероприятиях по реализации государственной социальной политики» </w:t>
      </w:r>
      <w:r w:rsidRPr="006A1BCA">
        <w:rPr>
          <w:rFonts w:ascii="Times New Roman" w:hAnsi="Times New Roman"/>
          <w:sz w:val="28"/>
          <w:szCs w:val="28"/>
        </w:rPr>
        <w:t xml:space="preserve">с учетом методических рекомендаций </w:t>
      </w:r>
      <w:r w:rsidR="00F42B67" w:rsidRPr="006A1BCA">
        <w:rPr>
          <w:rFonts w:ascii="Times New Roman" w:hAnsi="Times New Roman"/>
          <w:sz w:val="28"/>
          <w:szCs w:val="28"/>
        </w:rPr>
        <w:t>по</w:t>
      </w:r>
      <w:r w:rsidR="006239C3">
        <w:rPr>
          <w:rFonts w:ascii="Times New Roman" w:hAnsi="Times New Roman"/>
          <w:sz w:val="28"/>
          <w:szCs w:val="28"/>
        </w:rPr>
        <w:t> </w:t>
      </w:r>
      <w:r w:rsidR="006A1BCA" w:rsidRPr="006A1BCA">
        <w:rPr>
          <w:rFonts w:ascii="Times New Roman" w:hAnsi="Times New Roman"/>
          <w:sz w:val="28"/>
          <w:szCs w:val="28"/>
        </w:rPr>
        <w:t>п</w:t>
      </w:r>
      <w:r w:rsidR="00F42B67" w:rsidRPr="006A1BCA">
        <w:rPr>
          <w:rFonts w:ascii="Times New Roman" w:hAnsi="Times New Roman"/>
          <w:sz w:val="28"/>
          <w:szCs w:val="28"/>
        </w:rPr>
        <w:t xml:space="preserve">ланированию доходов и </w:t>
      </w:r>
      <w:r w:rsidR="006A1BCA" w:rsidRPr="006A1BCA">
        <w:rPr>
          <w:rFonts w:ascii="Times New Roman" w:hAnsi="Times New Roman"/>
          <w:sz w:val="28"/>
          <w:szCs w:val="28"/>
        </w:rPr>
        <w:t>бюджетных ассигнований на 2017 год и</w:t>
      </w:r>
      <w:r w:rsidR="006239C3">
        <w:rPr>
          <w:rFonts w:ascii="Times New Roman" w:hAnsi="Times New Roman"/>
          <w:sz w:val="28"/>
          <w:szCs w:val="28"/>
        </w:rPr>
        <w:t> </w:t>
      </w:r>
      <w:r w:rsidR="006A1BCA" w:rsidRPr="006A1BCA">
        <w:rPr>
          <w:rFonts w:ascii="Times New Roman" w:hAnsi="Times New Roman"/>
          <w:sz w:val="28"/>
          <w:szCs w:val="28"/>
        </w:rPr>
        <w:t>плановый</w:t>
      </w:r>
      <w:r w:rsidR="006239C3">
        <w:rPr>
          <w:rFonts w:ascii="Times New Roman" w:hAnsi="Times New Roman"/>
          <w:sz w:val="28"/>
          <w:szCs w:val="28"/>
        </w:rPr>
        <w:t xml:space="preserve"> </w:t>
      </w:r>
      <w:r w:rsidR="006A1BCA" w:rsidRPr="006A1BCA">
        <w:rPr>
          <w:rFonts w:ascii="Times New Roman" w:hAnsi="Times New Roman"/>
          <w:sz w:val="28"/>
          <w:szCs w:val="28"/>
        </w:rPr>
        <w:t xml:space="preserve">период 2018 и 2019 годов органами местного самоуправления муниципальных образований Ставропольского края, утвержденных </w:t>
      </w:r>
      <w:r w:rsidR="006239C3">
        <w:rPr>
          <w:rFonts w:ascii="Times New Roman" w:hAnsi="Times New Roman"/>
          <w:sz w:val="28"/>
          <w:szCs w:val="28"/>
        </w:rPr>
        <w:t xml:space="preserve">    </w:t>
      </w:r>
      <w:r w:rsidR="006A1BCA" w:rsidRPr="006A1BCA">
        <w:rPr>
          <w:rFonts w:ascii="Times New Roman" w:hAnsi="Times New Roman"/>
          <w:sz w:val="28"/>
          <w:szCs w:val="28"/>
        </w:rPr>
        <w:t>приказом</w:t>
      </w:r>
      <w:r w:rsidR="006239C3">
        <w:rPr>
          <w:rFonts w:ascii="Times New Roman" w:hAnsi="Times New Roman"/>
          <w:sz w:val="28"/>
          <w:szCs w:val="28"/>
        </w:rPr>
        <w:t xml:space="preserve"> </w:t>
      </w:r>
      <w:r w:rsidRPr="006A1BCA">
        <w:rPr>
          <w:rFonts w:ascii="Times New Roman" w:hAnsi="Times New Roman"/>
          <w:sz w:val="28"/>
          <w:szCs w:val="28"/>
        </w:rPr>
        <w:t>министерства финансов Ставропольского края</w:t>
      </w:r>
      <w:r w:rsidR="006A1BCA" w:rsidRPr="006A1BCA">
        <w:rPr>
          <w:rFonts w:ascii="Times New Roman" w:hAnsi="Times New Roman"/>
          <w:sz w:val="28"/>
          <w:szCs w:val="28"/>
        </w:rPr>
        <w:t xml:space="preserve"> от 30 сентября 2016</w:t>
      </w:r>
      <w:r w:rsidR="00A33ADE">
        <w:rPr>
          <w:rFonts w:ascii="Times New Roman" w:hAnsi="Times New Roman"/>
          <w:sz w:val="28"/>
          <w:szCs w:val="28"/>
        </w:rPr>
        <w:t> </w:t>
      </w:r>
      <w:r w:rsidR="006A1BCA" w:rsidRPr="006A1BCA">
        <w:rPr>
          <w:rFonts w:ascii="Times New Roman" w:hAnsi="Times New Roman"/>
          <w:sz w:val="28"/>
          <w:szCs w:val="28"/>
        </w:rPr>
        <w:t>г. №</w:t>
      </w:r>
      <w:r w:rsidR="006A1BCA">
        <w:rPr>
          <w:rFonts w:ascii="Times New Roman" w:hAnsi="Times New Roman"/>
          <w:sz w:val="28"/>
          <w:szCs w:val="28"/>
        </w:rPr>
        <w:t> </w:t>
      </w:r>
      <w:r w:rsidR="006A1BCA" w:rsidRPr="006A1BCA">
        <w:rPr>
          <w:rFonts w:ascii="Times New Roman" w:hAnsi="Times New Roman"/>
          <w:sz w:val="28"/>
          <w:szCs w:val="28"/>
        </w:rPr>
        <w:t>195</w:t>
      </w:r>
      <w:r w:rsidRPr="00BB672D">
        <w:rPr>
          <w:rFonts w:ascii="Times New Roman" w:hAnsi="Times New Roman"/>
          <w:sz w:val="28"/>
          <w:szCs w:val="28"/>
        </w:rPr>
        <w:t>,</w:t>
      </w:r>
      <w:r w:rsidR="00B216EB">
        <w:rPr>
          <w:rFonts w:ascii="Times New Roman" w:hAnsi="Times New Roman"/>
          <w:sz w:val="28"/>
          <w:szCs w:val="28"/>
        </w:rPr>
        <w:t xml:space="preserve"> </w:t>
      </w:r>
      <w:r w:rsidRPr="00BB672D">
        <w:rPr>
          <w:rFonts w:ascii="Times New Roman" w:hAnsi="Times New Roman"/>
          <w:sz w:val="28"/>
          <w:szCs w:val="28"/>
        </w:rPr>
        <w:t>Приказа Мин</w:t>
      </w:r>
      <w:r w:rsidR="000D652C">
        <w:rPr>
          <w:rFonts w:ascii="Times New Roman" w:hAnsi="Times New Roman"/>
          <w:sz w:val="28"/>
          <w:szCs w:val="28"/>
        </w:rPr>
        <w:t xml:space="preserve">истерства образования </w:t>
      </w:r>
      <w:r w:rsidR="000D652C" w:rsidRPr="00BB672D">
        <w:rPr>
          <w:rFonts w:ascii="Times New Roman" w:hAnsi="Times New Roman"/>
          <w:sz w:val="28"/>
          <w:szCs w:val="28"/>
        </w:rPr>
        <w:t xml:space="preserve">Российской </w:t>
      </w:r>
      <w:r w:rsidR="006239C3">
        <w:rPr>
          <w:rFonts w:ascii="Times New Roman" w:hAnsi="Times New Roman"/>
          <w:sz w:val="28"/>
          <w:szCs w:val="28"/>
        </w:rPr>
        <w:t xml:space="preserve">        </w:t>
      </w:r>
      <w:r w:rsidR="000D652C" w:rsidRPr="00BB672D">
        <w:rPr>
          <w:rFonts w:ascii="Times New Roman" w:hAnsi="Times New Roman"/>
          <w:sz w:val="28"/>
          <w:szCs w:val="28"/>
        </w:rPr>
        <w:t>Федерации</w:t>
      </w:r>
      <w:r w:rsidRPr="00BB672D">
        <w:rPr>
          <w:rFonts w:ascii="Times New Roman" w:hAnsi="Times New Roman"/>
          <w:sz w:val="28"/>
          <w:szCs w:val="28"/>
        </w:rPr>
        <w:t xml:space="preserve"> от</w:t>
      </w:r>
      <w:r w:rsidR="006A1BCA">
        <w:rPr>
          <w:rFonts w:ascii="Times New Roman" w:hAnsi="Times New Roman"/>
          <w:sz w:val="28"/>
          <w:szCs w:val="28"/>
        </w:rPr>
        <w:t> </w:t>
      </w:r>
      <w:r w:rsidRPr="00BB672D">
        <w:rPr>
          <w:rFonts w:ascii="Times New Roman" w:hAnsi="Times New Roman"/>
          <w:sz w:val="28"/>
          <w:szCs w:val="28"/>
        </w:rPr>
        <w:t>22</w:t>
      </w:r>
      <w:r w:rsidR="006A1BCA">
        <w:rPr>
          <w:rFonts w:ascii="Times New Roman" w:hAnsi="Times New Roman"/>
          <w:sz w:val="28"/>
          <w:szCs w:val="28"/>
        </w:rPr>
        <w:t> </w:t>
      </w:r>
      <w:r w:rsidR="006239C3">
        <w:rPr>
          <w:rFonts w:ascii="Times New Roman" w:hAnsi="Times New Roman"/>
          <w:sz w:val="28"/>
          <w:szCs w:val="28"/>
        </w:rPr>
        <w:t>декабря </w:t>
      </w:r>
      <w:r w:rsidR="000D652C">
        <w:rPr>
          <w:rFonts w:ascii="Times New Roman" w:hAnsi="Times New Roman"/>
          <w:sz w:val="28"/>
          <w:szCs w:val="28"/>
        </w:rPr>
        <w:t>201</w:t>
      </w:r>
      <w:r w:rsidRPr="00BB672D">
        <w:rPr>
          <w:rFonts w:ascii="Times New Roman" w:hAnsi="Times New Roman"/>
          <w:sz w:val="28"/>
          <w:szCs w:val="28"/>
        </w:rPr>
        <w:t>4</w:t>
      </w:r>
      <w:r w:rsidR="000D652C">
        <w:rPr>
          <w:rFonts w:ascii="Times New Roman" w:hAnsi="Times New Roman"/>
          <w:sz w:val="28"/>
          <w:szCs w:val="28"/>
        </w:rPr>
        <w:t xml:space="preserve"> г. </w:t>
      </w:r>
      <w:r w:rsidRPr="00BB672D">
        <w:rPr>
          <w:rFonts w:ascii="Times New Roman" w:hAnsi="Times New Roman"/>
          <w:sz w:val="28"/>
          <w:szCs w:val="28"/>
        </w:rPr>
        <w:t>№</w:t>
      </w:r>
      <w:r w:rsidR="006239C3">
        <w:rPr>
          <w:rFonts w:ascii="Times New Roman" w:hAnsi="Times New Roman"/>
          <w:sz w:val="28"/>
          <w:szCs w:val="28"/>
        </w:rPr>
        <w:t> </w:t>
      </w:r>
      <w:r w:rsidRPr="00BB672D">
        <w:rPr>
          <w:rFonts w:ascii="Times New Roman" w:hAnsi="Times New Roman"/>
          <w:sz w:val="28"/>
          <w:szCs w:val="28"/>
        </w:rPr>
        <w:t>1601 «О продолжительности рабочего времени</w:t>
      </w:r>
      <w:r w:rsidR="006239C3">
        <w:rPr>
          <w:rFonts w:ascii="Times New Roman" w:hAnsi="Times New Roman"/>
          <w:sz w:val="28"/>
          <w:szCs w:val="28"/>
        </w:rPr>
        <w:t xml:space="preserve"> </w:t>
      </w:r>
      <w:r w:rsidRPr="00BB672D">
        <w:rPr>
          <w:rFonts w:ascii="Times New Roman" w:hAnsi="Times New Roman"/>
          <w:sz w:val="28"/>
          <w:szCs w:val="28"/>
        </w:rPr>
        <w:t xml:space="preserve">(нормах часов педагогической работы за ставку заработной </w:t>
      </w:r>
      <w:r w:rsidR="006239C3">
        <w:rPr>
          <w:rFonts w:ascii="Times New Roman" w:hAnsi="Times New Roman"/>
          <w:sz w:val="28"/>
          <w:szCs w:val="28"/>
        </w:rPr>
        <w:t xml:space="preserve">       </w:t>
      </w:r>
      <w:r w:rsidRPr="00BB672D">
        <w:rPr>
          <w:rFonts w:ascii="Times New Roman" w:hAnsi="Times New Roman"/>
          <w:sz w:val="28"/>
          <w:szCs w:val="28"/>
        </w:rPr>
        <w:t>платы)</w:t>
      </w:r>
      <w:r w:rsidR="00A33ADE">
        <w:rPr>
          <w:rFonts w:ascii="Times New Roman" w:hAnsi="Times New Roman"/>
          <w:sz w:val="28"/>
          <w:szCs w:val="28"/>
        </w:rPr>
        <w:t xml:space="preserve"> </w:t>
      </w:r>
      <w:r w:rsidRPr="00BB672D">
        <w:rPr>
          <w:rFonts w:ascii="Times New Roman" w:hAnsi="Times New Roman"/>
          <w:sz w:val="28"/>
          <w:szCs w:val="28"/>
        </w:rPr>
        <w:t>педагогических работников и о порядке определения учебной</w:t>
      </w:r>
      <w:r w:rsidR="00A33ADE">
        <w:rPr>
          <w:rFonts w:ascii="Times New Roman" w:hAnsi="Times New Roman"/>
          <w:sz w:val="28"/>
          <w:szCs w:val="28"/>
        </w:rPr>
        <w:t> </w:t>
      </w:r>
      <w:r w:rsidRPr="00BB672D">
        <w:rPr>
          <w:rFonts w:ascii="Times New Roman" w:hAnsi="Times New Roman"/>
          <w:sz w:val="28"/>
          <w:szCs w:val="28"/>
        </w:rPr>
        <w:t>нагрузки</w:t>
      </w:r>
      <w:r w:rsidR="00A33ADE">
        <w:rPr>
          <w:rFonts w:ascii="Times New Roman" w:hAnsi="Times New Roman"/>
          <w:sz w:val="28"/>
          <w:szCs w:val="28"/>
        </w:rPr>
        <w:t xml:space="preserve"> </w:t>
      </w:r>
      <w:r w:rsidRPr="00BB672D">
        <w:rPr>
          <w:rFonts w:ascii="Times New Roman" w:hAnsi="Times New Roman"/>
          <w:sz w:val="28"/>
          <w:szCs w:val="28"/>
        </w:rPr>
        <w:t>педагогических работников, оговариваемой в трудовом договоре»;</w:t>
      </w:r>
    </w:p>
    <w:p w:rsidR="00BB672D" w:rsidRPr="00BB672D" w:rsidRDefault="00BB672D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672D">
        <w:rPr>
          <w:rFonts w:ascii="Times New Roman" w:hAnsi="Times New Roman"/>
          <w:sz w:val="28"/>
          <w:szCs w:val="28"/>
        </w:rPr>
        <w:t>обеспечение в полном объеме публичных нормативных обязательств;</w:t>
      </w:r>
    </w:p>
    <w:p w:rsidR="00BB672D" w:rsidRPr="00BB672D" w:rsidRDefault="00BB672D" w:rsidP="00B216EB">
      <w:pPr>
        <w:pStyle w:val="ConsPlusNormal"/>
        <w:widowControl w:val="0"/>
        <w:ind w:firstLine="709"/>
        <w:jc w:val="both"/>
        <w:rPr>
          <w:lang w:eastAsia="en-US"/>
        </w:rPr>
      </w:pPr>
      <w:r w:rsidRPr="00BB672D">
        <w:rPr>
          <w:lang w:eastAsia="en-US"/>
        </w:rPr>
        <w:t>обеспечение бесперебойной работы жилищно-коммунального хозяйства, развития социальной, инженерной и транспортной инфраструктур  города Ставрополя;</w:t>
      </w:r>
    </w:p>
    <w:p w:rsidR="00BB672D" w:rsidRPr="00AA60C7" w:rsidRDefault="00BB672D" w:rsidP="00B216EB">
      <w:pPr>
        <w:pStyle w:val="ConsPlusNormal"/>
        <w:widowControl w:val="0"/>
        <w:ind w:firstLine="709"/>
        <w:jc w:val="both"/>
        <w:rPr>
          <w:lang w:eastAsia="en-US"/>
        </w:rPr>
      </w:pPr>
      <w:r w:rsidRPr="00BB672D">
        <w:rPr>
          <w:lang w:eastAsia="en-US"/>
        </w:rPr>
        <w:t xml:space="preserve">обеспечение привлечения средств </w:t>
      </w:r>
      <w:r w:rsidR="000D652C">
        <w:rPr>
          <w:lang w:eastAsia="en-US"/>
        </w:rPr>
        <w:t>федерального бюджета и бюджета Ставропольского края</w:t>
      </w:r>
      <w:r w:rsidRPr="00BB672D">
        <w:rPr>
          <w:lang w:eastAsia="en-US"/>
        </w:rPr>
        <w:t xml:space="preserve"> на решение </w:t>
      </w:r>
      <w:r w:rsidRPr="00AA60C7">
        <w:rPr>
          <w:lang w:eastAsia="en-US"/>
        </w:rPr>
        <w:t xml:space="preserve">вопросов местного значения в целях сокращения нагрузки на бюджет города </w:t>
      </w:r>
      <w:r w:rsidR="00B216EB">
        <w:rPr>
          <w:lang w:eastAsia="en-US"/>
        </w:rPr>
        <w:t xml:space="preserve">Ставрополя </w:t>
      </w:r>
      <w:r w:rsidRPr="00AA60C7">
        <w:rPr>
          <w:lang w:eastAsia="en-US"/>
        </w:rPr>
        <w:t>и выполнение условий софинансирования;</w:t>
      </w:r>
    </w:p>
    <w:p w:rsidR="00BB672D" w:rsidRPr="00AA60C7" w:rsidRDefault="00BB672D" w:rsidP="00B216EB">
      <w:pPr>
        <w:pStyle w:val="ConsPlusNormal"/>
        <w:widowControl w:val="0"/>
        <w:ind w:firstLine="709"/>
        <w:jc w:val="both"/>
      </w:pPr>
      <w:r w:rsidRPr="00AA60C7">
        <w:rPr>
          <w:lang w:eastAsia="en-US"/>
        </w:rPr>
        <w:t xml:space="preserve">планирование бюджетных инвестиций </w:t>
      </w:r>
      <w:r w:rsidRPr="00AA60C7">
        <w:t xml:space="preserve">в объекты капитального строительства (реконструкции) муниципальной собственности города Ставрополя (далее – объекты) </w:t>
      </w:r>
      <w:r w:rsidRPr="00AA60C7">
        <w:rPr>
          <w:lang w:eastAsia="en-US"/>
        </w:rPr>
        <w:t xml:space="preserve">с учетом необходимости соблюдения сроков строительства (реконструкции) объектов, </w:t>
      </w:r>
      <w:r w:rsidRPr="00AA60C7">
        <w:t>наличия утвержденной проектной документации, прошедшей государственную экспертизу, приоритетности объектов, строительство (реконструкция) которых осуществляется на условиях софинансирования с федеральным бюджетом и (или)</w:t>
      </w:r>
      <w:r w:rsidR="00AA60C7" w:rsidRPr="00AA60C7">
        <w:t xml:space="preserve"> бюджетом Ставропольского края;</w:t>
      </w:r>
    </w:p>
    <w:p w:rsidR="00E85AAA" w:rsidRPr="00AA60C7" w:rsidRDefault="00BB672D" w:rsidP="00B216EB">
      <w:pPr>
        <w:pStyle w:val="ConsPlusNormal"/>
        <w:widowControl w:val="0"/>
        <w:spacing w:line="245" w:lineRule="auto"/>
        <w:ind w:firstLine="709"/>
        <w:jc w:val="both"/>
      </w:pPr>
      <w:r w:rsidRPr="00AA60C7">
        <w:t xml:space="preserve">6) </w:t>
      </w:r>
      <w:r w:rsidR="00AA60C7" w:rsidRPr="00AA60C7">
        <w:t>м</w:t>
      </w:r>
      <w:r w:rsidR="00E85AAA" w:rsidRPr="00AA60C7">
        <w:t xml:space="preserve">униципальный долг города Ставрополя на период до 2022 года спрогнозирован исходя из привлечений в виде кредитов от кредитных организаций и бюджетных кредитов из бюджетов вышестоящих уровней в целях финансирования: кассовых разрывов, возникающих при исполнении бюджета </w:t>
      </w:r>
      <w:r w:rsidR="00B216EB">
        <w:t>города Ставрополя</w:t>
      </w:r>
      <w:r w:rsidR="00E85AAA" w:rsidRPr="00AA60C7">
        <w:t xml:space="preserve"> в течение финансового года, планового объема </w:t>
      </w:r>
      <w:r w:rsidR="00E85AAA" w:rsidRPr="00AA60C7">
        <w:lastRenderedPageBreak/>
        <w:t>дефицита бюджета города</w:t>
      </w:r>
      <w:r w:rsidR="00B216EB" w:rsidRPr="00B216EB">
        <w:t xml:space="preserve"> </w:t>
      </w:r>
      <w:r w:rsidR="00B216EB" w:rsidRPr="00AA60C7">
        <w:t>Ставрополя</w:t>
      </w:r>
      <w:r w:rsidR="00E85AAA" w:rsidRPr="00AA60C7">
        <w:t>, реструктуризации и погашения долговых</w:t>
      </w:r>
      <w:r w:rsidR="00AA60C7" w:rsidRPr="00AA60C7">
        <w:t xml:space="preserve"> обязательств города Ставрополя;</w:t>
      </w:r>
    </w:p>
    <w:p w:rsidR="00E85AAA" w:rsidRPr="00AA60C7" w:rsidRDefault="00AA60C7" w:rsidP="00B216EB">
      <w:pPr>
        <w:pStyle w:val="ConsPlusNormal"/>
        <w:widowControl w:val="0"/>
        <w:spacing w:line="245" w:lineRule="auto"/>
        <w:ind w:firstLine="709"/>
        <w:jc w:val="both"/>
        <w:rPr>
          <w:bCs/>
          <w:lang w:eastAsia="en-US"/>
        </w:rPr>
      </w:pPr>
      <w:r w:rsidRPr="00AA60C7">
        <w:t>7) д</w:t>
      </w:r>
      <w:r w:rsidR="00E85AAA" w:rsidRPr="00AA60C7">
        <w:t xml:space="preserve">ефицит бюджета </w:t>
      </w:r>
      <w:r w:rsidR="000D652C" w:rsidRPr="00AA60C7">
        <w:t xml:space="preserve">города Ставрополя </w:t>
      </w:r>
      <w:r w:rsidR="00E85AAA" w:rsidRPr="00AA60C7">
        <w:t>определен исходя из ежегодных расчетных показателей доходов и расходов бюджета города</w:t>
      </w:r>
      <w:r w:rsidR="000D652C" w:rsidRPr="000D652C">
        <w:t xml:space="preserve"> </w:t>
      </w:r>
      <w:r w:rsidR="000D652C">
        <w:t>Ставрополя</w:t>
      </w:r>
      <w:r w:rsidR="00E85AAA" w:rsidRPr="00AA60C7">
        <w:t xml:space="preserve">. При этом </w:t>
      </w:r>
      <w:r w:rsidR="000D652C">
        <w:t>обеспечено</w:t>
      </w:r>
      <w:r w:rsidR="00E85AAA" w:rsidRPr="00AA60C7">
        <w:t xml:space="preserve"> соблюдение ограничений, установленных ст</w:t>
      </w:r>
      <w:r w:rsidR="000D652C">
        <w:t>атьей</w:t>
      </w:r>
      <w:r w:rsidR="00E85AAA" w:rsidRPr="00AA60C7">
        <w:t xml:space="preserve"> 92.1 Бюджетного кодекса Российской Федерации (не более </w:t>
      </w:r>
      <w:r w:rsidR="00E85AAA" w:rsidRPr="00AA60C7">
        <w:rPr>
          <w:bCs/>
          <w:lang w:eastAsia="en-US"/>
        </w:rPr>
        <w:t>10</w:t>
      </w:r>
      <w:r w:rsidR="000D652C">
        <w:rPr>
          <w:bCs/>
          <w:lang w:eastAsia="en-US"/>
        </w:rPr>
        <w:t> </w:t>
      </w:r>
      <w:r w:rsidR="00E85AAA" w:rsidRPr="00AA60C7">
        <w:rPr>
          <w:bCs/>
          <w:lang w:eastAsia="en-US"/>
        </w:rPr>
        <w:t>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</w:p>
    <w:p w:rsidR="002370F3" w:rsidRPr="006A4248" w:rsidRDefault="002370F3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451D8" w:rsidRDefault="00E85AAA" w:rsidP="00B216EB">
      <w:pPr>
        <w:pStyle w:val="ConsPlusNormal"/>
        <w:widowControl w:val="0"/>
        <w:jc w:val="center"/>
      </w:pPr>
      <w:r w:rsidRPr="00AA60C7">
        <w:t xml:space="preserve">4. </w:t>
      </w:r>
      <w:r w:rsidR="007451D8">
        <w:t>П</w:t>
      </w:r>
      <w:r w:rsidR="007451D8" w:rsidRPr="000B798F">
        <w:t>редельны</w:t>
      </w:r>
      <w:r w:rsidR="007451D8">
        <w:t>е</w:t>
      </w:r>
      <w:r w:rsidR="007451D8" w:rsidRPr="000B798F">
        <w:t xml:space="preserve"> </w:t>
      </w:r>
      <w:r w:rsidR="007451D8">
        <w:t xml:space="preserve">объемы </w:t>
      </w:r>
      <w:r w:rsidR="007451D8" w:rsidRPr="000B798F">
        <w:t>расход</w:t>
      </w:r>
      <w:r w:rsidR="007451D8">
        <w:t>ов бюджета города Ставрополя</w:t>
      </w:r>
      <w:r w:rsidR="007451D8" w:rsidRPr="000B798F">
        <w:t xml:space="preserve"> </w:t>
      </w:r>
    </w:p>
    <w:p w:rsidR="00E85AAA" w:rsidRPr="00AA60C7" w:rsidRDefault="007451D8" w:rsidP="00B216EB">
      <w:pPr>
        <w:pStyle w:val="ConsPlusNormal"/>
        <w:widowControl w:val="0"/>
        <w:jc w:val="center"/>
      </w:pPr>
      <w:r w:rsidRPr="000B798F">
        <w:t>на реализаци</w:t>
      </w:r>
      <w:r>
        <w:t>ю</w:t>
      </w:r>
      <w:r w:rsidRPr="000B798F">
        <w:t xml:space="preserve"> </w:t>
      </w:r>
      <w:r>
        <w:t>муниципальных</w:t>
      </w:r>
      <w:r w:rsidRPr="000B798F">
        <w:t xml:space="preserve"> программ </w:t>
      </w:r>
      <w:r w:rsidR="00E85AAA" w:rsidRPr="00AA60C7">
        <w:t>на период до 2022 года</w:t>
      </w:r>
    </w:p>
    <w:p w:rsidR="00E85AAA" w:rsidRPr="006A4248" w:rsidRDefault="00E85AAA" w:rsidP="00B216EB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E85AAA" w:rsidRPr="00AA60C7" w:rsidRDefault="00E85AAA" w:rsidP="00B216E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60C7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14.04.2016 </w:t>
      </w:r>
      <w:r w:rsidRPr="00AA60C7">
        <w:rPr>
          <w:rFonts w:ascii="Times New Roman" w:hAnsi="Times New Roman"/>
          <w:sz w:val="28"/>
          <w:szCs w:val="28"/>
          <w:lang w:eastAsia="ru-RU"/>
        </w:rPr>
        <w:br/>
        <w:t xml:space="preserve">№ 787 </w:t>
      </w:r>
      <w:r w:rsidR="00B216EB">
        <w:rPr>
          <w:rFonts w:ascii="Times New Roman" w:hAnsi="Times New Roman"/>
          <w:sz w:val="28"/>
          <w:szCs w:val="28"/>
          <w:lang w:eastAsia="ru-RU"/>
        </w:rPr>
        <w:t>«</w:t>
      </w:r>
      <w:r w:rsidR="00B847D6">
        <w:rPr>
          <w:rFonts w:ascii="Times New Roman" w:hAnsi="Times New Roman"/>
          <w:sz w:val="28"/>
          <w:szCs w:val="28"/>
        </w:rPr>
        <w:t>О Перечне муниципальных программ города Ставрополя,</w:t>
      </w:r>
      <w:r w:rsidR="00B847D6" w:rsidRPr="00D72DDE">
        <w:rPr>
          <w:rFonts w:ascii="Times New Roman" w:hAnsi="Times New Roman"/>
          <w:sz w:val="28"/>
          <w:szCs w:val="28"/>
        </w:rPr>
        <w:t xml:space="preserve"> </w:t>
      </w:r>
      <w:r w:rsidR="00B847D6">
        <w:rPr>
          <w:rFonts w:ascii="Times New Roman" w:hAnsi="Times New Roman"/>
          <w:sz w:val="28"/>
          <w:szCs w:val="28"/>
        </w:rPr>
        <w:t>принимаемых к разработке в 2016 году»</w:t>
      </w:r>
      <w:r w:rsidR="00B216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60C7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hyperlink r:id="rId12" w:history="1">
        <w:r w:rsidRPr="00AA60C7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Pr="00AA60C7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города Ставрополя, принимаемых к разработке в 2016 году, включающий 19 муниципальных программ. </w:t>
      </w:r>
    </w:p>
    <w:p w:rsidR="00E85AAA" w:rsidRDefault="00E85AAA" w:rsidP="00B216EB">
      <w:pPr>
        <w:pStyle w:val="ConsPlusNormal"/>
        <w:widowControl w:val="0"/>
        <w:spacing w:line="245" w:lineRule="auto"/>
        <w:ind w:firstLine="709"/>
        <w:jc w:val="both"/>
        <w:rPr>
          <w:color w:val="FF0000"/>
        </w:rPr>
      </w:pPr>
      <w:r w:rsidRPr="00AA60C7">
        <w:t>Бюджетным прогнозом города Ставрополя устанавливаются предельные объемы расходов бюджета города</w:t>
      </w:r>
      <w:r w:rsidR="00B847D6" w:rsidRPr="00B847D6">
        <w:t xml:space="preserve"> </w:t>
      </w:r>
      <w:r w:rsidR="00B847D6" w:rsidRPr="00AA60C7">
        <w:t>Ставрополя</w:t>
      </w:r>
      <w:r w:rsidRPr="00AA60C7">
        <w:t xml:space="preserve"> на реализацию каждой из муниципальных программ до 2022 года. Предельные объемы расходов бюджета города </w:t>
      </w:r>
      <w:r w:rsidR="00B847D6" w:rsidRPr="00AA60C7">
        <w:t xml:space="preserve">Ставрополя </w:t>
      </w:r>
      <w:r w:rsidRPr="00AA60C7">
        <w:t>на реализацию муниципальных программ на период до 2022 года приведены в приложении 2 к бюджетному</w:t>
      </w:r>
      <w:r w:rsidRPr="007C16D2">
        <w:t xml:space="preserve"> прогнозу города Ставрополя.</w:t>
      </w:r>
    </w:p>
    <w:p w:rsidR="00A33ADE" w:rsidRPr="00DA037C" w:rsidRDefault="00A33ADE" w:rsidP="00B216EB">
      <w:pPr>
        <w:pStyle w:val="ConsPlusNormal"/>
        <w:widowControl w:val="0"/>
        <w:spacing w:line="245" w:lineRule="auto"/>
        <w:ind w:firstLine="709"/>
        <w:jc w:val="both"/>
      </w:pPr>
      <w:r w:rsidRPr="0083090D">
        <w:t xml:space="preserve">Предельные объемы расходов бюджета города </w:t>
      </w:r>
      <w:r w:rsidR="00B847D6" w:rsidRPr="00AA60C7">
        <w:t>Ставрополя</w:t>
      </w:r>
      <w:r w:rsidR="00B847D6" w:rsidRPr="0083090D">
        <w:t xml:space="preserve"> </w:t>
      </w:r>
      <w:r w:rsidRPr="0083090D">
        <w:t>на реализацию муниципальных программ</w:t>
      </w:r>
      <w:r>
        <w:t xml:space="preserve"> </w:t>
      </w:r>
      <w:r w:rsidR="00B847D6">
        <w:t>являются</w:t>
      </w:r>
      <w:r w:rsidRPr="0083090D">
        <w:t xml:space="preserve"> индикативн</w:t>
      </w:r>
      <w:r w:rsidR="00B847D6">
        <w:t>ой оценкой</w:t>
      </w:r>
      <w:r w:rsidRPr="0083090D">
        <w:t xml:space="preserve"> объема расходов</w:t>
      </w:r>
      <w:r>
        <w:t>, </w:t>
      </w:r>
      <w:r w:rsidRPr="00A631F0">
        <w:t>отражающ</w:t>
      </w:r>
      <w:r w:rsidR="00B847D6">
        <w:t>ей</w:t>
      </w:r>
      <w:r w:rsidRPr="00A631F0">
        <w:t xml:space="preserve"> приоритеты муниципальной политики в соответствующих сферах.</w:t>
      </w:r>
      <w:r>
        <w:t xml:space="preserve"> В</w:t>
      </w:r>
      <w:r w:rsidRPr="00DA037C">
        <w:t xml:space="preserve"> случае подтверждения </w:t>
      </w:r>
      <w:r>
        <w:t xml:space="preserve">прогноза социально–экономического развития города Ставрополя на период до 2030 года </w:t>
      </w:r>
      <w:r w:rsidRPr="00DA037C">
        <w:t>и бюджетного прогноза</w:t>
      </w:r>
      <w:r>
        <w:t xml:space="preserve"> города Ставрополя</w:t>
      </w:r>
      <w:r w:rsidRPr="00DA037C">
        <w:t xml:space="preserve"> </w:t>
      </w:r>
      <w:r>
        <w:t>п</w:t>
      </w:r>
      <w:r w:rsidRPr="0083090D">
        <w:t xml:space="preserve">редельные объемы расходов бюджета города </w:t>
      </w:r>
      <w:r w:rsidR="00B847D6">
        <w:t>Ставрополя</w:t>
      </w:r>
      <w:r w:rsidR="00B847D6" w:rsidRPr="0083090D">
        <w:t xml:space="preserve"> </w:t>
      </w:r>
      <w:r w:rsidRPr="0083090D">
        <w:t>на реализацию муниципальных программ</w:t>
      </w:r>
      <w:r w:rsidRPr="00DA037C">
        <w:t xml:space="preserve"> мо</w:t>
      </w:r>
      <w:r>
        <w:t>гут</w:t>
      </w:r>
      <w:r w:rsidRPr="00DA037C">
        <w:t xml:space="preserve"> быть</w:t>
      </w:r>
      <w:r>
        <w:t> </w:t>
      </w:r>
      <w:r w:rsidRPr="00DA037C">
        <w:t>включен</w:t>
      </w:r>
      <w:r>
        <w:t>ы</w:t>
      </w:r>
      <w:r w:rsidRPr="00DA037C">
        <w:t xml:space="preserve"> в состав ассигнований бюджета города </w:t>
      </w:r>
      <w:r>
        <w:t xml:space="preserve">Ставрополя </w:t>
      </w:r>
      <w:r w:rsidRPr="00DA037C">
        <w:t>по соответствующей муниципальной программе на очередной финансовый год и на плановый период.</w:t>
      </w:r>
    </w:p>
    <w:p w:rsidR="00E85AAA" w:rsidRPr="00DA037C" w:rsidRDefault="00E85AAA" w:rsidP="00B216EB">
      <w:pPr>
        <w:pStyle w:val="ConsPlusNormal"/>
        <w:widowControl w:val="0"/>
        <w:spacing w:line="245" w:lineRule="auto"/>
        <w:ind w:firstLine="709"/>
        <w:jc w:val="both"/>
      </w:pPr>
      <w:r>
        <w:t>Н</w:t>
      </w:r>
      <w:r w:rsidRPr="00DA037C">
        <w:t xml:space="preserve">есмотря на индикативный характер, </w:t>
      </w:r>
      <w:r w:rsidR="00B847D6">
        <w:t>п</w:t>
      </w:r>
      <w:r w:rsidR="00B847D6" w:rsidRPr="0083090D">
        <w:t xml:space="preserve">редельные объемы расходов бюджета города </w:t>
      </w:r>
      <w:r w:rsidR="00B847D6">
        <w:t>Ставрополя</w:t>
      </w:r>
      <w:r w:rsidR="00B847D6" w:rsidRPr="0083090D">
        <w:t xml:space="preserve"> </w:t>
      </w:r>
      <w:r w:rsidRPr="00DA037C">
        <w:t>позволяют определить среднесрочные приоритеты в распределении бюджетных расходов, сформировать полноценные, финансово обеспеченные муниципальные программы, создать стимулы, прежде всего для их ответственных исполнителей, для выявления и использования резервов в целях перераспределения расходов и, следовательно, повышения эффективности использования бюджетных средств.</w:t>
      </w:r>
    </w:p>
    <w:p w:rsidR="00E85AAA" w:rsidRPr="00DA037C" w:rsidRDefault="00E85AAA" w:rsidP="00B216EB">
      <w:pPr>
        <w:pStyle w:val="ConsPlusNormal"/>
        <w:widowControl w:val="0"/>
        <w:spacing w:line="245" w:lineRule="auto"/>
        <w:ind w:firstLine="709"/>
        <w:jc w:val="both"/>
      </w:pPr>
      <w:r w:rsidRPr="00DA037C">
        <w:lastRenderedPageBreak/>
        <w:t>В случае разработки и принятия новых муниципальных программ</w:t>
      </w:r>
      <w:r w:rsidR="00A33ADE">
        <w:t xml:space="preserve"> </w:t>
      </w:r>
      <w:r w:rsidRPr="00DA037C">
        <w:t>бюджетные ассигнования на их финансовое обеспечение могут</w:t>
      </w:r>
      <w:r w:rsidR="00A33ADE">
        <w:t xml:space="preserve"> </w:t>
      </w:r>
      <w:r w:rsidRPr="00DA037C">
        <w:t>быть установлены только за счет перераспределения бюджетных ассигнований, предусмотренных по другим муниципальным программам.</w:t>
      </w:r>
    </w:p>
    <w:p w:rsidR="006A4248" w:rsidRDefault="006A4248" w:rsidP="00B216EB">
      <w:pPr>
        <w:pStyle w:val="ConsPlusNormal"/>
        <w:widowControl w:val="0"/>
        <w:ind w:firstLine="709"/>
        <w:jc w:val="both"/>
      </w:pPr>
    </w:p>
    <w:p w:rsidR="00A33ADE" w:rsidRDefault="00A33ADE" w:rsidP="00B216EB">
      <w:pPr>
        <w:pStyle w:val="ConsPlusNormal"/>
        <w:widowControl w:val="0"/>
        <w:ind w:firstLine="709"/>
        <w:jc w:val="both"/>
      </w:pPr>
    </w:p>
    <w:p w:rsidR="00A33ADE" w:rsidRDefault="00A33ADE" w:rsidP="00B216EB">
      <w:pPr>
        <w:pStyle w:val="ConsPlusNormal"/>
        <w:widowControl w:val="0"/>
        <w:ind w:firstLine="709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337617" w:rsidRPr="0051714E" w:rsidTr="005D06C3">
        <w:tc>
          <w:tcPr>
            <w:tcW w:w="4785" w:type="dxa"/>
            <w:shd w:val="clear" w:color="auto" w:fill="auto"/>
          </w:tcPr>
          <w:p w:rsidR="00337617" w:rsidRPr="0051714E" w:rsidRDefault="00921F16" w:rsidP="00B216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37617" w:rsidRPr="0051714E" w:rsidRDefault="00337617" w:rsidP="00B216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6" w:type="dxa"/>
            <w:shd w:val="clear" w:color="auto" w:fill="auto"/>
          </w:tcPr>
          <w:p w:rsidR="00337617" w:rsidRPr="0051714E" w:rsidRDefault="00337617" w:rsidP="00B216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7617" w:rsidRPr="0051714E" w:rsidRDefault="00921F16" w:rsidP="00B216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Т.В. С</w:t>
            </w:r>
            <w:r w:rsidR="0051714E" w:rsidRPr="0051714E">
              <w:rPr>
                <w:rFonts w:ascii="Times New Roman" w:hAnsi="Times New Roman"/>
                <w:sz w:val="28"/>
                <w:szCs w:val="28"/>
              </w:rPr>
              <w:t>авельева</w:t>
            </w:r>
          </w:p>
          <w:p w:rsidR="00A112B7" w:rsidRPr="0051714E" w:rsidRDefault="00A112B7" w:rsidP="00B216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12B7" w:rsidRPr="000D5262" w:rsidRDefault="00A112B7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A112B7" w:rsidRPr="000D5262" w:rsidSect="00532C54">
          <w:pgSz w:w="11907" w:h="16840" w:code="9"/>
          <w:pgMar w:top="1418" w:right="567" w:bottom="1106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BA05CB" w:rsidRPr="0051714E" w:rsidTr="00A001A0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BA05CB" w:rsidRDefault="00BA05CB" w:rsidP="00B847D6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3598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47D6" w:rsidRPr="0051714E" w:rsidRDefault="00B847D6" w:rsidP="00B847D6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Pr="0051714E" w:rsidRDefault="00BA05CB" w:rsidP="00B847D6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outlineLvl w:val="1"/>
              <w:rPr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к бюджетному прогнозу муниципального образования города Ставрополя Ставропольского края на период до 2022 года</w:t>
            </w:r>
          </w:p>
        </w:tc>
      </w:tr>
    </w:tbl>
    <w:p w:rsidR="00BA05CB" w:rsidRPr="000D5262" w:rsidRDefault="00BA05CB" w:rsidP="00B216E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A05CB" w:rsidRPr="005A3217" w:rsidRDefault="00BA05CB" w:rsidP="00B216EB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BF7B2B" w:rsidRPr="008B538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 2022 года</w:t>
      </w:r>
    </w:p>
    <w:p w:rsidR="00D04FA0" w:rsidRDefault="00D04FA0" w:rsidP="00B216EB">
      <w:pPr>
        <w:pStyle w:val="ConsPlusNormal"/>
        <w:widowControl w:val="0"/>
        <w:jc w:val="both"/>
      </w:pPr>
    </w:p>
    <w:tbl>
      <w:tblPr>
        <w:tblW w:w="14925" w:type="dxa"/>
        <w:tblInd w:w="96" w:type="dxa"/>
        <w:shd w:val="clear" w:color="auto" w:fill="FFFFFF"/>
        <w:tblLook w:val="04A0"/>
      </w:tblPr>
      <w:tblGrid>
        <w:gridCol w:w="2847"/>
        <w:gridCol w:w="1480"/>
        <w:gridCol w:w="1639"/>
        <w:gridCol w:w="1559"/>
        <w:gridCol w:w="1480"/>
        <w:gridCol w:w="1480"/>
        <w:gridCol w:w="1480"/>
        <w:gridCol w:w="1480"/>
        <w:gridCol w:w="1480"/>
      </w:tblGrid>
      <w:tr w:rsidR="00BA113E" w:rsidRPr="00BA113E" w:rsidTr="00BA113E">
        <w:trPr>
          <w:cantSplit/>
          <w:trHeight w:val="20"/>
        </w:trPr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</w:tr>
      <w:tr w:rsidR="00BA113E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BA113E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8 428 694,43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7 462 484,64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8 283 472,20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6 743 836,32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7 285 979,52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7 229 448,82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7 238 545,37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7 170 225,02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2 716 694,26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2 692 972,78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2 609 310,69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2 674 483,86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2 764 592,60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2 898 640,12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2 821 334,49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2 751 262,07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841 630,46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912 506,85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785 654,78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732 991,40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871 334,09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680 725,98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767 128,17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768 880,24</w:t>
            </w:r>
          </w:p>
        </w:tc>
      </w:tr>
      <w:tr w:rsidR="007E2A1C" w:rsidRPr="00BA113E" w:rsidTr="009F5E1B">
        <w:trPr>
          <w:cantSplit/>
          <w:trHeight w:val="5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4 870 369,71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3 857 005,01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4 888 506,73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3 336 361,06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3 650 052,83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3 650 082,71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3 650 082,71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3 650 082,71</w:t>
            </w:r>
          </w:p>
        </w:tc>
      </w:tr>
      <w:tr w:rsidR="007E2A1C" w:rsidRPr="00BA113E" w:rsidTr="00063380">
        <w:trPr>
          <w:cantSplit/>
          <w:trHeight w:val="3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8 853 436,09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7 817 678,01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8 620 578,34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7 084 551,58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7 545 819,35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7 418 587,76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7 439 570,76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7 456 497,76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A1C" w:rsidRPr="00BA113E" w:rsidTr="005D6511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8 387,85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73 575,63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164 710,00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200 042,00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241 728,00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268 872,00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289 855,00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306 782,00</w:t>
            </w:r>
          </w:p>
        </w:tc>
      </w:tr>
      <w:tr w:rsidR="007E2A1C" w:rsidRPr="00BA113E" w:rsidTr="00836EA4">
        <w:trPr>
          <w:cantSplit/>
          <w:trHeight w:val="22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Дефицит/профицит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-424 741,66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-355 193,37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-337 106,14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-340 715,26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-259 839,83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-189 138,94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-201 025,39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-286 272,74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A1C" w:rsidRPr="00BA113E" w:rsidTr="00BA113E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650 946,00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981 283,00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1 318 389,00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1 659 104,00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8465F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1 918 944,00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2 107 418,00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2 308 444,00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2 594 716,00</w:t>
            </w:r>
          </w:p>
        </w:tc>
      </w:tr>
    </w:tbl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  <w:sectPr w:rsidR="00D04FA0" w:rsidSect="002C0416">
          <w:headerReference w:type="first" r:id="rId13"/>
          <w:pgSz w:w="16840" w:h="11907" w:orient="landscape" w:code="9"/>
          <w:pgMar w:top="1985" w:right="1418" w:bottom="567" w:left="1134" w:header="709" w:footer="709" w:gutter="0"/>
          <w:pgNumType w:start="1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D04FA0" w:rsidRPr="0051714E" w:rsidTr="00BD2489">
        <w:tc>
          <w:tcPr>
            <w:tcW w:w="5201" w:type="dxa"/>
          </w:tcPr>
          <w:p w:rsidR="00D04FA0" w:rsidRPr="0051714E" w:rsidRDefault="00D04FA0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D04FA0" w:rsidRDefault="00D04FA0" w:rsidP="00B216EB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7C16D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847D6" w:rsidRPr="0051714E" w:rsidRDefault="00B847D6" w:rsidP="00B216EB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04FA0" w:rsidRPr="0051714E" w:rsidRDefault="00D04FA0" w:rsidP="00B216EB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outlineLvl w:val="1"/>
              <w:rPr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к бюджетному прогнозу муниципального образования города Ставрополя Ставропольского края на период до 2022 года</w:t>
            </w:r>
          </w:p>
        </w:tc>
      </w:tr>
    </w:tbl>
    <w:p w:rsidR="00D04FA0" w:rsidRPr="000D5262" w:rsidRDefault="00D04FA0" w:rsidP="00B216E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D04FA0" w:rsidRPr="005A3217" w:rsidRDefault="00D04FA0" w:rsidP="00B216EB">
      <w:pPr>
        <w:widowControl w:val="0"/>
        <w:spacing w:after="0" w:line="240" w:lineRule="auto"/>
        <w:ind w:left="10632"/>
        <w:rPr>
          <w:rFonts w:ascii="Times New Roman" w:hAnsi="Times New Roman"/>
          <w:b/>
          <w:bCs/>
          <w:sz w:val="28"/>
          <w:szCs w:val="28"/>
        </w:rPr>
      </w:pPr>
    </w:p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ПРЕДЕЛЬНЫЕ ОБЪЕМЫ</w:t>
      </w:r>
    </w:p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расходов бюджета города Ставрополя на реализацию муниципальных программ города Ставрополя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04FA0" w:rsidRDefault="00D04FA0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период до 2022 года</w:t>
      </w:r>
    </w:p>
    <w:tbl>
      <w:tblPr>
        <w:tblW w:w="15039" w:type="dxa"/>
        <w:tblInd w:w="96" w:type="dxa"/>
        <w:tblLook w:val="04A0"/>
      </w:tblPr>
      <w:tblGrid>
        <w:gridCol w:w="4832"/>
        <w:gridCol w:w="1276"/>
        <w:gridCol w:w="1276"/>
        <w:gridCol w:w="1276"/>
        <w:gridCol w:w="1276"/>
        <w:gridCol w:w="1275"/>
        <w:gridCol w:w="1276"/>
        <w:gridCol w:w="1276"/>
        <w:gridCol w:w="1276"/>
      </w:tblGrid>
      <w:tr w:rsidR="00BE3794" w:rsidRPr="00BE3794" w:rsidTr="00BE3794">
        <w:trPr>
          <w:cantSplit/>
          <w:trHeight w:val="20"/>
        </w:trPr>
        <w:tc>
          <w:tcPr>
            <w:tcW w:w="4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794" w:rsidRPr="00BE3794" w:rsidRDefault="00BE3794" w:rsidP="00B847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E3794" w:rsidRPr="00BE3794" w:rsidTr="00BE3794">
        <w:trPr>
          <w:cantSplit/>
          <w:trHeight w:val="2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</w:tr>
    </w:tbl>
    <w:p w:rsidR="00BE3794" w:rsidRPr="00BE3794" w:rsidRDefault="00BE3794" w:rsidP="00B216EB">
      <w:pPr>
        <w:widowControl w:val="0"/>
        <w:spacing w:after="0" w:line="14" w:lineRule="auto"/>
        <w:rPr>
          <w:sz w:val="2"/>
          <w:szCs w:val="2"/>
        </w:rPr>
      </w:pPr>
    </w:p>
    <w:tbl>
      <w:tblPr>
        <w:tblW w:w="15039" w:type="dxa"/>
        <w:tblInd w:w="96" w:type="dxa"/>
        <w:tblLook w:val="04A0"/>
      </w:tblPr>
      <w:tblGrid>
        <w:gridCol w:w="4832"/>
        <w:gridCol w:w="1276"/>
        <w:gridCol w:w="1276"/>
        <w:gridCol w:w="1276"/>
        <w:gridCol w:w="1276"/>
        <w:gridCol w:w="1275"/>
        <w:gridCol w:w="1276"/>
        <w:gridCol w:w="1276"/>
        <w:gridCol w:w="1276"/>
      </w:tblGrid>
      <w:tr w:rsidR="00BE3794" w:rsidRPr="00BE3794" w:rsidTr="0046772C">
        <w:trPr>
          <w:cantSplit/>
          <w:trHeight w:val="20"/>
          <w:tblHeader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бюджета города Ставрополя,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8 853 436,09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7 817 678,01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EC31ED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BE3794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620</w:t>
            </w:r>
            <w:r w:rsidR="00BE3794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578</w:t>
            </w:r>
            <w:r w:rsidR="00BE3794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 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084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551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7 54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8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7 418 587,76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7 439 570,76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7 456 497,76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 на реализацию муниципальных  программ города Ставрополя,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8 129 429,18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7 068 219,67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7 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901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043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EC31ED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6 279</w:t>
            </w:r>
            <w:r w:rsidR="00BE3794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510</w:t>
            </w:r>
            <w:r w:rsidR="00BE3794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6 6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39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694</w:t>
            </w:r>
            <w:r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6 707 251,06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6 728 234,06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6 745 161,06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4 389 228,53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3 264 244,52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EC31ED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E3794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</w:t>
            </w:r>
            <w:r w:rsidR="00BE3794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</w:t>
            </w:r>
            <w:r w:rsidR="00BE3794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3 280 320,94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3 280 320,94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3 280 320,94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17 782,97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15 220,46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5 451,46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5 431,46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1 883 889,46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1 784 718,22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1 766 197,18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1 617 454,56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1 773 806,99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1 805 583,34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1 805 583,34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1 805 583,34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5D6511" w:rsidRPr="005D65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1 035 007,66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1 152 672,26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D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925 761,69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669 036,93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669 036,93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669 036,93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669 036,93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669 036,93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8 134,95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9 488,30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39 800,70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3 160,70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7 404,63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290 071,25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282 060,48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D34BE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4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420 985,50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277 665,72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277 665,72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277 665,72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277 665,72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277 665,72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239 125,43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210 423,97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162 441,88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162 441,88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162 441,88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Ставрополя»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6 390,20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17 280,81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103 013,48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380CDE" w:rsidRDefault="00BE3794" w:rsidP="00EC31E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C31ED"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</w:t>
            </w:r>
            <w:r w:rsidRPr="00380C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264 247,96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291 391,96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312 374,96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329 301,96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10 355,42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7 048,04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8 523,00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3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89 967,36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98 317,06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101 355,27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99 834,21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99 834,21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99 834,21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99 834,21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99 834,21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3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11 924,05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13 156,30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6 466,75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3 120,08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3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65 327,48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66 971,11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61 566,73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61 566,73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61 566,73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61 566,73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61 566,73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11 099,38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13 808,91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9 359,34</w:t>
            </w:r>
          </w:p>
        </w:tc>
      </w:tr>
      <w:tr w:rsidR="00BE3794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794" w:rsidRPr="00BE3794" w:rsidRDefault="00BE3794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2 384,30</w:t>
            </w:r>
          </w:p>
        </w:tc>
      </w:tr>
      <w:tr w:rsidR="006A1BCA" w:rsidRPr="00BE3794" w:rsidTr="0046772C">
        <w:trPr>
          <w:cantSplit/>
          <w:trHeight w:val="20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35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BCA" w:rsidRPr="00BE3794" w:rsidRDefault="006A1BCA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37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C0416" w:rsidRDefault="002C0416" w:rsidP="001D17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6A1BCA">
      <w:pgSz w:w="16840" w:h="11907" w:orient="landscape" w:code="9"/>
      <w:pgMar w:top="1985" w:right="1418" w:bottom="42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846" w:rsidRDefault="006A1846" w:rsidP="004C66C0">
      <w:pPr>
        <w:spacing w:after="0" w:line="240" w:lineRule="auto"/>
      </w:pPr>
      <w:r>
        <w:separator/>
      </w:r>
    </w:p>
  </w:endnote>
  <w:endnote w:type="continuationSeparator" w:id="0">
    <w:p w:rsidR="006A1846" w:rsidRDefault="006A1846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846" w:rsidRDefault="006A1846" w:rsidP="004C66C0">
      <w:pPr>
        <w:spacing w:after="0" w:line="240" w:lineRule="auto"/>
      </w:pPr>
      <w:r>
        <w:separator/>
      </w:r>
    </w:p>
  </w:footnote>
  <w:footnote w:type="continuationSeparator" w:id="0">
    <w:p w:rsidR="006A1846" w:rsidRDefault="006A1846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F5" w:rsidRDefault="009E3079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8465F5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864B30">
      <w:rPr>
        <w:rFonts w:ascii="Times New Roman" w:hAnsi="Times New Roman"/>
        <w:noProof/>
        <w:sz w:val="28"/>
      </w:rPr>
      <w:t>3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5F5" w:rsidRDefault="008465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4546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877EE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785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E19"/>
    <w:rsid w:val="00212AAC"/>
    <w:rsid w:val="00212D7A"/>
    <w:rsid w:val="00213534"/>
    <w:rsid w:val="00215361"/>
    <w:rsid w:val="0021666C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B6D"/>
    <w:rsid w:val="00277082"/>
    <w:rsid w:val="0028050B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5B8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0CDE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73A"/>
    <w:rsid w:val="003C1AF9"/>
    <w:rsid w:val="003C258A"/>
    <w:rsid w:val="003C4C4B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62B7"/>
    <w:rsid w:val="003E7EC2"/>
    <w:rsid w:val="003E7EEC"/>
    <w:rsid w:val="003F2002"/>
    <w:rsid w:val="003F3615"/>
    <w:rsid w:val="003F3889"/>
    <w:rsid w:val="003F3A5C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6C2"/>
    <w:rsid w:val="00410726"/>
    <w:rsid w:val="00411014"/>
    <w:rsid w:val="00411B7D"/>
    <w:rsid w:val="0041305E"/>
    <w:rsid w:val="00413EA7"/>
    <w:rsid w:val="00415A7C"/>
    <w:rsid w:val="00416A72"/>
    <w:rsid w:val="004174B6"/>
    <w:rsid w:val="00417B0E"/>
    <w:rsid w:val="004203FE"/>
    <w:rsid w:val="00421DAD"/>
    <w:rsid w:val="00425110"/>
    <w:rsid w:val="0042676B"/>
    <w:rsid w:val="00426BCD"/>
    <w:rsid w:val="00427AE2"/>
    <w:rsid w:val="00431044"/>
    <w:rsid w:val="004311CC"/>
    <w:rsid w:val="00432107"/>
    <w:rsid w:val="0043307A"/>
    <w:rsid w:val="00436055"/>
    <w:rsid w:val="00437B9A"/>
    <w:rsid w:val="00441F71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55CCB"/>
    <w:rsid w:val="00461457"/>
    <w:rsid w:val="00461B86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38CF"/>
    <w:rsid w:val="00483D49"/>
    <w:rsid w:val="0048404C"/>
    <w:rsid w:val="00485BD1"/>
    <w:rsid w:val="00486195"/>
    <w:rsid w:val="00486E55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E6291"/>
    <w:rsid w:val="004F250E"/>
    <w:rsid w:val="004F25AA"/>
    <w:rsid w:val="004F3605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61C9"/>
    <w:rsid w:val="00557218"/>
    <w:rsid w:val="00557738"/>
    <w:rsid w:val="00557759"/>
    <w:rsid w:val="00562444"/>
    <w:rsid w:val="005625DA"/>
    <w:rsid w:val="00562648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55AC"/>
    <w:rsid w:val="00590134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A765E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2CEE"/>
    <w:rsid w:val="0060361F"/>
    <w:rsid w:val="006045A6"/>
    <w:rsid w:val="00604A69"/>
    <w:rsid w:val="00606029"/>
    <w:rsid w:val="00611063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A3E"/>
    <w:rsid w:val="006366AC"/>
    <w:rsid w:val="006368E4"/>
    <w:rsid w:val="00636BF6"/>
    <w:rsid w:val="00640038"/>
    <w:rsid w:val="00640ABF"/>
    <w:rsid w:val="00641377"/>
    <w:rsid w:val="006449E5"/>
    <w:rsid w:val="006450D2"/>
    <w:rsid w:val="00646609"/>
    <w:rsid w:val="00646627"/>
    <w:rsid w:val="00647B04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A0FF6"/>
    <w:rsid w:val="006A1846"/>
    <w:rsid w:val="006A1BCA"/>
    <w:rsid w:val="006A3F3A"/>
    <w:rsid w:val="006A4248"/>
    <w:rsid w:val="006A430D"/>
    <w:rsid w:val="006A52C3"/>
    <w:rsid w:val="006A5CAA"/>
    <w:rsid w:val="006A6314"/>
    <w:rsid w:val="006A67D6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6AA7"/>
    <w:rsid w:val="007377DD"/>
    <w:rsid w:val="00740522"/>
    <w:rsid w:val="0074084E"/>
    <w:rsid w:val="00743FD5"/>
    <w:rsid w:val="007451D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4693"/>
    <w:rsid w:val="0081495E"/>
    <w:rsid w:val="0081543D"/>
    <w:rsid w:val="00815C84"/>
    <w:rsid w:val="008163A3"/>
    <w:rsid w:val="00816939"/>
    <w:rsid w:val="00820EC0"/>
    <w:rsid w:val="00821A80"/>
    <w:rsid w:val="008222EB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896"/>
    <w:rsid w:val="00843CAF"/>
    <w:rsid w:val="00844324"/>
    <w:rsid w:val="0084476A"/>
    <w:rsid w:val="008449FC"/>
    <w:rsid w:val="00845C0F"/>
    <w:rsid w:val="008465F5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64B30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7E8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77D6"/>
    <w:rsid w:val="008E1B5D"/>
    <w:rsid w:val="008E353B"/>
    <w:rsid w:val="008E418B"/>
    <w:rsid w:val="008E42F8"/>
    <w:rsid w:val="008E45AA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E41"/>
    <w:rsid w:val="009E1644"/>
    <w:rsid w:val="009E259D"/>
    <w:rsid w:val="009E2DD0"/>
    <w:rsid w:val="009E2E83"/>
    <w:rsid w:val="009E3079"/>
    <w:rsid w:val="009E4034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6BC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4CD4"/>
    <w:rsid w:val="00AC5EE0"/>
    <w:rsid w:val="00AC6133"/>
    <w:rsid w:val="00AC6DAE"/>
    <w:rsid w:val="00AC7AA0"/>
    <w:rsid w:val="00AD04D4"/>
    <w:rsid w:val="00AD1C00"/>
    <w:rsid w:val="00AD2BF1"/>
    <w:rsid w:val="00AD4CD9"/>
    <w:rsid w:val="00AD5EA8"/>
    <w:rsid w:val="00AE1484"/>
    <w:rsid w:val="00AE161B"/>
    <w:rsid w:val="00AE1F6B"/>
    <w:rsid w:val="00AE2BDA"/>
    <w:rsid w:val="00AE2CB8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44CB"/>
    <w:rsid w:val="00B375EE"/>
    <w:rsid w:val="00B40391"/>
    <w:rsid w:val="00B41CCF"/>
    <w:rsid w:val="00B42B86"/>
    <w:rsid w:val="00B43BE8"/>
    <w:rsid w:val="00B45123"/>
    <w:rsid w:val="00B50CAC"/>
    <w:rsid w:val="00B51502"/>
    <w:rsid w:val="00B51D85"/>
    <w:rsid w:val="00B52481"/>
    <w:rsid w:val="00B53A68"/>
    <w:rsid w:val="00B53E6E"/>
    <w:rsid w:val="00B57060"/>
    <w:rsid w:val="00B574FB"/>
    <w:rsid w:val="00B601D9"/>
    <w:rsid w:val="00B619D4"/>
    <w:rsid w:val="00B62458"/>
    <w:rsid w:val="00B62AAE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32BB"/>
    <w:rsid w:val="00CA34AF"/>
    <w:rsid w:val="00CA54FF"/>
    <w:rsid w:val="00CA60BE"/>
    <w:rsid w:val="00CA68D0"/>
    <w:rsid w:val="00CA6A0B"/>
    <w:rsid w:val="00CB1430"/>
    <w:rsid w:val="00CB2C3E"/>
    <w:rsid w:val="00CB358B"/>
    <w:rsid w:val="00CB4D55"/>
    <w:rsid w:val="00CB4F24"/>
    <w:rsid w:val="00CB5071"/>
    <w:rsid w:val="00CB5936"/>
    <w:rsid w:val="00CB599E"/>
    <w:rsid w:val="00CB65DB"/>
    <w:rsid w:val="00CB7495"/>
    <w:rsid w:val="00CC13DF"/>
    <w:rsid w:val="00CC183B"/>
    <w:rsid w:val="00CC18FF"/>
    <w:rsid w:val="00CC1F6F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10D78"/>
    <w:rsid w:val="00D10D95"/>
    <w:rsid w:val="00D11874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5E44"/>
    <w:rsid w:val="00D57A6F"/>
    <w:rsid w:val="00D57AAB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B0974"/>
    <w:rsid w:val="00DB0A73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686B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6158"/>
    <w:rsid w:val="00E4663E"/>
    <w:rsid w:val="00E51CEC"/>
    <w:rsid w:val="00E537CF"/>
    <w:rsid w:val="00E53B5B"/>
    <w:rsid w:val="00E53BFC"/>
    <w:rsid w:val="00E55850"/>
    <w:rsid w:val="00E5596D"/>
    <w:rsid w:val="00E5612A"/>
    <w:rsid w:val="00E56DD7"/>
    <w:rsid w:val="00E570D2"/>
    <w:rsid w:val="00E605D6"/>
    <w:rsid w:val="00E60E78"/>
    <w:rsid w:val="00E61739"/>
    <w:rsid w:val="00E6219E"/>
    <w:rsid w:val="00E63B56"/>
    <w:rsid w:val="00E650DB"/>
    <w:rsid w:val="00E65A8D"/>
    <w:rsid w:val="00E65FCB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866"/>
    <w:rsid w:val="00EF22D4"/>
    <w:rsid w:val="00EF28CC"/>
    <w:rsid w:val="00EF2A62"/>
    <w:rsid w:val="00EF30CD"/>
    <w:rsid w:val="00EF334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DBC"/>
    <w:rsid w:val="00F273DF"/>
    <w:rsid w:val="00F27DB6"/>
    <w:rsid w:val="00F30F4A"/>
    <w:rsid w:val="00F35041"/>
    <w:rsid w:val="00F35D03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DC1"/>
    <w:rsid w:val="00F90271"/>
    <w:rsid w:val="00F91262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  <w:style w:type="paragraph" w:styleId="af2">
    <w:name w:val="Title"/>
    <w:basedOn w:val="a0"/>
    <w:link w:val="af3"/>
    <w:qFormat/>
    <w:rsid w:val="008465F5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8465F5"/>
    <w:rPr>
      <w:rFonts w:ascii="Times New Roman" w:eastAsia="Arial Unicode MS" w:hAnsi="Times New Roman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450A3E57AD2C8EF6ECF697AE8EA41921B05D26D8292AF3705B9F4B395FE05EA9610E082BBFF2E0529792cAf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45E3FB6EB536E237B8AB96CF6ECDFC08DB29858B6E4F4CA036C45B4Cp2CD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845E3FB6EB536E237B8AB96CF6ECDFC08D92B8E8C694F4CA036C45B4Cp2CD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45E3FB6EB536E237B8AB96CF6ECDFC08D92B8E8C694F4CA036C45B4Cp2CD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57330-CC70-4A49-B9DE-E6D0DA45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4463</Words>
  <Characters>25444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29848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AN.Shadchneva</cp:lastModifiedBy>
  <cp:revision>2</cp:revision>
  <cp:lastPrinted>2017-01-12T06:09:00Z</cp:lastPrinted>
  <dcterms:created xsi:type="dcterms:W3CDTF">2017-01-12T06:22:00Z</dcterms:created>
  <dcterms:modified xsi:type="dcterms:W3CDTF">2017-01-12T06:22:00Z</dcterms:modified>
</cp:coreProperties>
</file>