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C000000">
      <w:pPr>
        <w:spacing w:line="240" w:lineRule="auto"/>
        <w:ind/>
        <w:jc w:val="center"/>
      </w:pPr>
      <w:r>
        <w:rPr>
          <w:color w:val="FFFFFF"/>
        </w:rPr>
        <w:drawing>
          <wp:inline>
            <wp:extent cx="819327" cy="770895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7"/>
                    <a:stretch/>
                  </pic:blipFill>
                  <pic:spPr>
                    <a:xfrm flipH="false" flipV="false" rot="0">
                      <a:ext cx="819327" cy="77089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D000000">
      <w:pPr>
        <w:spacing w:line="120" w:lineRule="auto"/>
        <w:ind/>
        <w:jc w:val="center"/>
        <w:rPr>
          <w:sz w:val="36"/>
        </w:rPr>
      </w:pPr>
    </w:p>
    <w:p w14:paraId="0E000000">
      <w:pPr>
        <w:spacing w:line="240" w:lineRule="auto"/>
        <w:ind/>
        <w:jc w:val="center"/>
      </w:pPr>
      <w:r>
        <w:rPr>
          <w:sz w:val="36"/>
        </w:rPr>
        <w:t>П О С Т А Н О В Л Е Н И Е</w:t>
      </w:r>
      <w:r>
        <w:br/>
      </w:r>
      <w:r>
        <w:rPr>
          <w:spacing w:val="30"/>
          <w:sz w:val="32"/>
        </w:rPr>
        <w:t>АДМИНИСТРАЦИИ ГОРОДА СТАВРОПОЛЯ</w:t>
      </w:r>
      <w:r>
        <w:rPr>
          <w:spacing w:val="30"/>
          <w:sz w:val="32"/>
        </w:rPr>
        <w:br/>
      </w:r>
      <w:r>
        <w:rPr>
          <w:spacing w:val="30"/>
          <w:sz w:val="32"/>
        </w:rPr>
        <w:t>СТАВРОПОЛЬСКОГО КРАЯ</w:t>
      </w:r>
    </w:p>
    <w:p w14:paraId="0F000000">
      <w:pPr>
        <w:spacing w:line="240" w:lineRule="auto"/>
        <w:ind/>
        <w:jc w:val="center"/>
      </w:pPr>
    </w:p>
    <w:p w14:paraId="10000000">
      <w:pPr>
        <w:spacing w:line="240" w:lineRule="auto"/>
        <w:ind/>
        <w:jc w:val="center"/>
      </w:pPr>
      <w:r>
        <w:rPr>
          <w:spacing w:val="30"/>
          <w:sz w:val="32"/>
        </w:rPr>
        <w:t xml:space="preserve">03.06.2024         </w:t>
      </w:r>
      <w:r>
        <w:rPr>
          <w:spacing w:val="30"/>
          <w:sz w:val="32"/>
        </w:rPr>
        <w:t xml:space="preserve">    </w:t>
      </w:r>
      <w:r>
        <w:rPr>
          <w:spacing w:val="30"/>
          <w:sz w:val="32"/>
        </w:rPr>
        <w:t xml:space="preserve"> г. Ставрополь                     </w:t>
      </w:r>
      <w:r>
        <w:rPr>
          <w:spacing w:val="30"/>
          <w:sz w:val="32"/>
        </w:rPr>
        <w:t xml:space="preserve"> </w:t>
      </w:r>
      <w:r>
        <w:rPr>
          <w:spacing w:val="30"/>
          <w:sz w:val="32"/>
        </w:rPr>
        <w:t xml:space="preserve"> </w:t>
      </w:r>
      <w:r>
        <w:rPr>
          <w:spacing w:val="30"/>
          <w:sz w:val="32"/>
        </w:rPr>
        <w:t>№</w:t>
      </w:r>
      <w:r>
        <w:rPr>
          <w:spacing w:val="30"/>
          <w:sz w:val="32"/>
        </w:rPr>
        <w:t xml:space="preserve"> 1072</w:t>
      </w:r>
    </w:p>
    <w:p w14:paraId="11000000">
      <w:pPr>
        <w:spacing w:line="240" w:lineRule="auto"/>
        <w:ind/>
        <w:jc w:val="center"/>
      </w:pPr>
    </w:p>
    <w:p w14:paraId="12000000">
      <w:pPr>
        <w:spacing w:line="240" w:lineRule="auto"/>
        <w:ind/>
        <w:jc w:val="center"/>
      </w:pPr>
    </w:p>
    <w:p w14:paraId="13000000">
      <w:pPr>
        <w:spacing w:line="240" w:lineRule="auto"/>
        <w:ind/>
        <w:jc w:val="center"/>
      </w:pPr>
    </w:p>
    <w:p w14:paraId="14000000">
      <w:pPr>
        <w:spacing w:line="240" w:lineRule="auto"/>
        <w:ind/>
        <w:jc w:val="center"/>
      </w:pPr>
    </w:p>
    <w:p w14:paraId="15000000">
      <w:pPr>
        <w:pStyle w:val="Style_4"/>
        <w:spacing w:line="240" w:lineRule="exact"/>
        <w:ind w:firstLine="0" w:left="0" w:right="0"/>
        <w:jc w:val="both"/>
        <w:rPr>
          <w:sz w:val="28"/>
        </w:rPr>
      </w:pPr>
      <w:r>
        <w:rPr>
          <w:sz w:val="28"/>
        </w:rPr>
        <w:t xml:space="preserve">О принятии решения о </w:t>
      </w:r>
      <w:r>
        <w:rPr>
          <w:sz w:val="28"/>
        </w:rPr>
        <w:t xml:space="preserve">заключении </w:t>
      </w:r>
      <w:r>
        <w:rPr>
          <w:sz w:val="28"/>
        </w:rPr>
        <w:t xml:space="preserve">концессионного соглашения </w:t>
      </w:r>
      <w:r>
        <w:rPr>
          <w:sz w:val="28"/>
        </w:rPr>
        <w:br/>
      </w:r>
      <w:r>
        <w:rPr>
          <w:sz w:val="28"/>
        </w:rPr>
        <w:t>в отношении</w:t>
      </w:r>
      <w:r>
        <w:rPr>
          <w:rFonts w:ascii="Times New Roman" w:hAnsi="Times New Roman"/>
          <w:sz w:val="28"/>
        </w:rPr>
        <w:t xml:space="preserve"> здания </w:t>
      </w:r>
      <w:r>
        <w:rPr>
          <w:rFonts w:ascii="Times New Roman" w:hAnsi="Times New Roman"/>
          <w:sz w:val="28"/>
        </w:rPr>
        <w:t xml:space="preserve">бани </w:t>
      </w:r>
      <w:r>
        <w:rPr>
          <w:rFonts w:ascii="Times New Roman" w:hAnsi="Times New Roman"/>
          <w:sz w:val="28"/>
        </w:rPr>
        <w:t xml:space="preserve">с кадастровым номером 26:12:030732:205, </w:t>
      </w:r>
      <w:r>
        <w:rPr>
          <w:rFonts w:ascii="Times New Roman" w:hAnsi="Times New Roman"/>
          <w:sz w:val="28"/>
        </w:rPr>
        <w:t xml:space="preserve">расположенного </w:t>
      </w:r>
      <w:r>
        <w:rPr>
          <w:rFonts w:ascii="Times New Roman" w:hAnsi="Times New Roman"/>
          <w:sz w:val="28"/>
        </w:rPr>
        <w:t xml:space="preserve">по адресу: </w:t>
      </w:r>
      <w:r>
        <w:rPr>
          <w:rFonts w:ascii="Times New Roman" w:hAnsi="Times New Roman"/>
          <w:color w:val="000000"/>
          <w:sz w:val="28"/>
          <w:highlight w:val="white"/>
        </w:rPr>
        <w:t xml:space="preserve">Российская Федерация, Ставропольский край,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 xml:space="preserve">г. Ставрополь, </w:t>
      </w:r>
      <w:r>
        <w:rPr>
          <w:rFonts w:ascii="Times New Roman" w:hAnsi="Times New Roman"/>
          <w:color w:val="000000"/>
          <w:sz w:val="28"/>
          <w:highlight w:val="white"/>
        </w:rPr>
        <w:t>пер. Крупской, стр. 29в</w:t>
      </w:r>
    </w:p>
    <w:p w14:paraId="16000000">
      <w:pPr>
        <w:pStyle w:val="Style_3"/>
        <w:spacing w:line="240" w:lineRule="auto"/>
        <w:ind w:firstLine="709" w:left="0" w:right="0"/>
        <w:jc w:val="both"/>
        <w:rPr>
          <w:sz w:val="28"/>
        </w:rPr>
      </w:pPr>
    </w:p>
    <w:p w14:paraId="17000000">
      <w:pPr>
        <w:pStyle w:val="Style_3"/>
        <w:spacing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В соответствии </w:t>
      </w:r>
      <w:r>
        <w:rPr>
          <w:sz w:val="28"/>
        </w:rPr>
        <w:t>с ф</w:t>
      </w:r>
      <w:r>
        <w:rPr>
          <w:sz w:val="28"/>
        </w:rPr>
        <w:t xml:space="preserve">едеральными законами от 21 июля 2005 г. </w:t>
      </w:r>
      <w:r>
        <w:rPr>
          <w:sz w:val="28"/>
        </w:rPr>
        <w:br/>
      </w:r>
      <w:r>
        <w:rPr>
          <w:sz w:val="28"/>
        </w:rPr>
        <w:t xml:space="preserve">№ 115-ФЗ </w:t>
      </w:r>
      <w:r>
        <w:rPr>
          <w:sz w:val="28"/>
        </w:rPr>
        <w:t xml:space="preserve">«О концессионных соглашениях», </w:t>
      </w:r>
      <w:r>
        <w:rPr>
          <w:sz w:val="28"/>
        </w:rPr>
        <w:t xml:space="preserve">от 06 октября 2003 г. </w:t>
      </w:r>
      <w:r>
        <w:br/>
      </w:r>
      <w:r>
        <w:rPr>
          <w:sz w:val="28"/>
        </w:rPr>
        <w:t xml:space="preserve">№ 131-ФЗ «Об общих принципах организации местного самоуправления </w:t>
      </w:r>
      <w:r>
        <w:br/>
      </w:r>
      <w:r>
        <w:rPr>
          <w:sz w:val="28"/>
        </w:rPr>
        <w:t>в Российской Федерации», постановлением администрации города Ставрополя от 26.12.2016 № 2908 «</w:t>
      </w:r>
      <w:r>
        <w:rPr>
          <w:sz w:val="28"/>
        </w:rPr>
        <w:t>Об утверждении Порядка принятия решений о заключении соглашений о муниципально-частном партнерстве, концессионных соглашений от имени муниципального образования города Ставрополя Ставропольского края на срок, превышающий срок действия утвержденных лимитов бюджетных обязательств»</w:t>
      </w:r>
    </w:p>
    <w:p w14:paraId="18000000">
      <w:pPr>
        <w:pStyle w:val="Style_3"/>
        <w:spacing w:line="240" w:lineRule="auto"/>
        <w:ind w:firstLine="709" w:left="0" w:right="0"/>
        <w:jc w:val="both"/>
        <w:rPr>
          <w:sz w:val="32"/>
        </w:rPr>
      </w:pPr>
    </w:p>
    <w:p w14:paraId="19000000">
      <w:pPr>
        <w:pStyle w:val="Style_3"/>
        <w:spacing w:line="240" w:lineRule="auto"/>
        <w:ind w:firstLine="0" w:left="0" w:right="0"/>
        <w:jc w:val="both"/>
        <w:rPr>
          <w:sz w:val="28"/>
        </w:rPr>
      </w:pPr>
      <w:r>
        <w:rPr>
          <w:sz w:val="28"/>
        </w:rPr>
        <w:t>ПОСТАНОВЛЯЮ:</w:t>
      </w:r>
    </w:p>
    <w:p w14:paraId="1A000000">
      <w:pPr>
        <w:pStyle w:val="Style_3"/>
        <w:spacing w:line="240" w:lineRule="auto"/>
        <w:ind w:firstLine="709" w:left="0" w:right="0"/>
        <w:jc w:val="both"/>
        <w:rPr>
          <w:sz w:val="32"/>
        </w:rPr>
      </w:pPr>
    </w:p>
    <w:p w14:paraId="1B000000">
      <w:pPr>
        <w:pStyle w:val="Style_3"/>
        <w:spacing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1.</w:t>
      </w:r>
      <w:r>
        <w:rPr>
          <w:color w:themeColor="text1" w:val="000000"/>
          <w:sz w:val="28"/>
          <w:highlight w:val="white"/>
        </w:rPr>
        <w:t> </w:t>
      </w:r>
      <w:r>
        <w:rPr>
          <w:color w:themeColor="text1" w:val="000000"/>
          <w:sz w:val="28"/>
          <w:highlight w:val="white"/>
        </w:rPr>
        <w:t xml:space="preserve">Принять решение </w:t>
      </w:r>
      <w:r>
        <w:rPr>
          <w:color w:themeColor="text1" w:val="000000"/>
          <w:sz w:val="28"/>
          <w:highlight w:val="white"/>
        </w:rPr>
        <w:t xml:space="preserve">о заключении концессионного соглашения </w:t>
      </w:r>
      <w:r>
        <w:rPr>
          <w:sz w:val="28"/>
        </w:rPr>
        <w:br/>
      </w:r>
      <w:r>
        <w:rPr>
          <w:color w:themeColor="text1" w:val="000000"/>
          <w:sz w:val="28"/>
          <w:highlight w:val="white"/>
        </w:rPr>
        <w:t xml:space="preserve">в отношении </w:t>
      </w:r>
      <w:r>
        <w:rPr>
          <w:rFonts w:ascii="Times New Roman" w:hAnsi="Times New Roman"/>
          <w:sz w:val="28"/>
        </w:rPr>
        <w:t xml:space="preserve">здания </w:t>
      </w:r>
      <w:r>
        <w:rPr>
          <w:rFonts w:ascii="Times New Roman" w:hAnsi="Times New Roman"/>
          <w:sz w:val="28"/>
        </w:rPr>
        <w:t xml:space="preserve">бани </w:t>
      </w:r>
      <w:r>
        <w:rPr>
          <w:rFonts w:ascii="Times New Roman" w:hAnsi="Times New Roman"/>
          <w:sz w:val="28"/>
        </w:rPr>
        <w:t xml:space="preserve">с кадастровым номером 26:12:030732:205, </w:t>
      </w:r>
      <w:r>
        <w:rPr>
          <w:rFonts w:ascii="Times New Roman" w:hAnsi="Times New Roman"/>
          <w:sz w:val="28"/>
        </w:rPr>
        <w:t xml:space="preserve">расположенного </w:t>
      </w:r>
      <w:r>
        <w:rPr>
          <w:rFonts w:ascii="Times New Roman" w:hAnsi="Times New Roman"/>
          <w:sz w:val="28"/>
        </w:rPr>
        <w:t xml:space="preserve">по адресу: </w:t>
      </w:r>
      <w:r>
        <w:rPr>
          <w:rFonts w:ascii="Times New Roman" w:hAnsi="Times New Roman"/>
          <w:color w:val="000000"/>
          <w:sz w:val="28"/>
          <w:highlight w:val="white"/>
        </w:rPr>
        <w:t xml:space="preserve">Российская Федерация, Ставропольский край,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 xml:space="preserve">г. Ставрополь, </w:t>
      </w:r>
      <w:r>
        <w:rPr>
          <w:rFonts w:ascii="Times New Roman" w:hAnsi="Times New Roman"/>
          <w:color w:val="000000"/>
          <w:sz w:val="28"/>
          <w:highlight w:val="white"/>
        </w:rPr>
        <w:t>пер. Крупской, стр. 29в, путем проведения открытого конкурса на право заключения концессионного соглашения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br/>
      </w:r>
      <w:r>
        <w:rPr>
          <w:rFonts w:ascii="Times New Roman" w:hAnsi="Times New Roman"/>
          <w:color w:val="000000"/>
          <w:sz w:val="28"/>
          <w:highlight w:val="white"/>
        </w:rPr>
        <w:t>(далее соответственно – концессионное соглашение, открытый конкурс)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</w:p>
    <w:p w14:paraId="1C000000">
      <w:pPr>
        <w:pStyle w:val="Style_3"/>
        <w:spacing w:line="240" w:lineRule="auto"/>
        <w:ind w:firstLine="709" w:left="0" w:right="0"/>
        <w:jc w:val="both"/>
        <w:rPr>
          <w:b w:val="0"/>
          <w:sz w:val="28"/>
        </w:rPr>
      </w:pPr>
      <w:r>
        <w:rPr>
          <w:b w:val="0"/>
          <w:sz w:val="28"/>
        </w:rPr>
        <w:t xml:space="preserve">2. Установить прилагаемые: </w:t>
      </w:r>
    </w:p>
    <w:p w14:paraId="1D000000">
      <w:pPr>
        <w:pStyle w:val="Style_3"/>
        <w:spacing w:line="240" w:lineRule="auto"/>
        <w:ind w:firstLine="709" w:left="0" w:right="0"/>
        <w:jc w:val="both"/>
        <w:rPr>
          <w:b w:val="0"/>
          <w:sz w:val="28"/>
        </w:rPr>
      </w:pPr>
      <w:r>
        <w:rPr>
          <w:b w:val="0"/>
          <w:sz w:val="28"/>
        </w:rPr>
        <w:t>1) Условия концессионного соглашения</w:t>
      </w:r>
      <w:r>
        <w:rPr>
          <w:b w:val="0"/>
          <w:sz w:val="28"/>
        </w:rPr>
        <w:t>;</w:t>
      </w:r>
    </w:p>
    <w:p w14:paraId="1E000000">
      <w:pPr>
        <w:pStyle w:val="Style_3"/>
        <w:spacing w:line="240" w:lineRule="auto"/>
        <w:ind w:firstLine="709" w:left="0" w:right="0"/>
        <w:jc w:val="both"/>
        <w:rPr>
          <w:b w:val="0"/>
          <w:sz w:val="28"/>
        </w:rPr>
      </w:pPr>
      <w:r>
        <w:rPr>
          <w:b w:val="0"/>
          <w:sz w:val="28"/>
        </w:rPr>
        <w:t>2) критерии открытого конкурса</w:t>
      </w:r>
      <w:r>
        <w:rPr>
          <w:b w:val="0"/>
          <w:sz w:val="28"/>
        </w:rPr>
        <w:t>;</w:t>
      </w:r>
    </w:p>
    <w:p w14:paraId="1F000000">
      <w:pPr>
        <w:pStyle w:val="Style_3"/>
        <w:spacing w:line="240" w:lineRule="auto"/>
        <w:ind w:firstLine="709" w:left="0" w:right="0"/>
        <w:jc w:val="both"/>
        <w:rPr>
          <w:b w:val="0"/>
          <w:sz w:val="28"/>
        </w:rPr>
      </w:pPr>
      <w:r>
        <w:rPr>
          <w:b w:val="0"/>
          <w:sz w:val="28"/>
        </w:rPr>
        <w:t xml:space="preserve">3) задание и перечень мероприятий по реконструкции </w:t>
      </w:r>
      <w:r>
        <w:br/>
      </w:r>
      <w:r>
        <w:t xml:space="preserve">и </w:t>
      </w:r>
      <w:r>
        <w:t>использованию (</w:t>
      </w:r>
      <w:r>
        <w:t xml:space="preserve">эксплуатации) </w:t>
      </w:r>
      <w:r>
        <w:rPr>
          <w:b w:val="0"/>
          <w:sz w:val="28"/>
        </w:rPr>
        <w:t>объекта концессионного соглашения</w:t>
      </w:r>
      <w:r>
        <w:rPr>
          <w:b w:val="0"/>
          <w:sz w:val="28"/>
        </w:rPr>
        <w:t>.</w:t>
      </w:r>
    </w:p>
    <w:p w14:paraId="20000000">
      <w:pPr>
        <w:pStyle w:val="Style_3"/>
        <w:spacing w:line="240" w:lineRule="auto"/>
        <w:ind w:firstLine="709" w:left="0" w:right="0"/>
        <w:jc w:val="both"/>
        <w:rPr>
          <w:b w:val="0"/>
          <w:sz w:val="28"/>
        </w:rPr>
      </w:pPr>
      <w:r>
        <w:rPr>
          <w:b w:val="0"/>
          <w:sz w:val="28"/>
        </w:rPr>
        <w:t>3. Определить комитет по управлению муниципальным имуществом города Ставрополя уполномоченным органом администрации города Ставрополя:</w:t>
      </w:r>
    </w:p>
    <w:p w14:paraId="21000000">
      <w:pPr>
        <w:pStyle w:val="Style_3"/>
        <w:spacing w:line="240" w:lineRule="auto"/>
        <w:ind w:firstLine="709" w:left="0" w:right="0"/>
        <w:jc w:val="both"/>
        <w:rPr>
          <w:b w:val="0"/>
        </w:rPr>
      </w:pPr>
      <w:r>
        <w:rPr>
          <w:b w:val="0"/>
          <w:sz w:val="28"/>
        </w:rPr>
        <w:t xml:space="preserve">1) на </w:t>
      </w:r>
      <w:r>
        <w:rPr>
          <w:b w:val="0"/>
          <w:sz w:val="28"/>
        </w:rPr>
        <w:t>утверждение конкурсной документации, внесение изменений</w:t>
      </w:r>
      <w:r>
        <w:br/>
      </w:r>
      <w:r>
        <w:rPr>
          <w:b w:val="0"/>
          <w:sz w:val="28"/>
        </w:rPr>
        <w:t xml:space="preserve">в конкурсную документацию; </w:t>
      </w:r>
    </w:p>
    <w:p w14:paraId="22000000">
      <w:pPr>
        <w:pStyle w:val="Style_3"/>
        <w:spacing w:line="240" w:lineRule="auto"/>
        <w:ind w:firstLine="709" w:left="0" w:right="0"/>
        <w:jc w:val="both"/>
        <w:rPr>
          <w:b w:val="0"/>
        </w:rPr>
      </w:pPr>
      <w:r>
        <w:rPr>
          <w:b w:val="0"/>
          <w:sz w:val="28"/>
        </w:rPr>
        <w:t xml:space="preserve">2) на формирование </w:t>
      </w:r>
      <w:r>
        <w:t xml:space="preserve">конкурсной комиссии </w:t>
      </w:r>
      <w:r>
        <w:t xml:space="preserve">по проведению открытого конкурса </w:t>
      </w:r>
      <w:r>
        <w:t>(далее – конкурсная комиссия)</w:t>
      </w:r>
      <w:r>
        <w:t xml:space="preserve">, </w:t>
      </w:r>
      <w:r>
        <w:rPr>
          <w:b w:val="0"/>
        </w:rPr>
        <w:t xml:space="preserve">утверждение персонального состава </w:t>
      </w:r>
    </w:p>
    <w:p w14:paraId="23000000">
      <w:pPr>
        <w:pStyle w:val="Style_3"/>
        <w:spacing w:line="240" w:lineRule="auto"/>
        <w:ind w:firstLine="709" w:left="0" w:right="0"/>
        <w:jc w:val="both"/>
        <w:rPr>
          <w:b w:val="0"/>
        </w:rPr>
      </w:pPr>
    </w:p>
    <w:p w14:paraId="24000000">
      <w:pPr>
        <w:pStyle w:val="Style_3"/>
        <w:spacing w:line="240" w:lineRule="auto"/>
        <w:ind w:firstLine="709" w:left="0" w:right="0"/>
        <w:jc w:val="both"/>
        <w:rPr>
          <w:b w:val="0"/>
        </w:rPr>
      </w:pPr>
    </w:p>
    <w:p w14:paraId="25000000">
      <w:pPr>
        <w:pStyle w:val="Style_3"/>
        <w:spacing w:line="240" w:lineRule="auto"/>
        <w:ind w:firstLine="709" w:left="0" w:right="0"/>
        <w:jc w:val="both"/>
        <w:rPr>
          <w:b w:val="0"/>
        </w:rPr>
      </w:pPr>
    </w:p>
    <w:p w14:paraId="26000000">
      <w:pPr>
        <w:pStyle w:val="Style_3"/>
        <w:spacing w:line="240" w:lineRule="auto"/>
        <w:ind w:firstLine="709" w:left="0" w:right="0"/>
        <w:jc w:val="both"/>
        <w:rPr>
          <w:b w:val="0"/>
        </w:rPr>
      </w:pPr>
      <w:r>
        <w:rPr>
          <w:b w:val="0"/>
        </w:rPr>
        <w:t>конкурсной комиссии.</w:t>
      </w:r>
    </w:p>
    <w:p w14:paraId="27000000">
      <w:pPr>
        <w:pStyle w:val="Style_3"/>
        <w:spacing w:line="240" w:lineRule="auto"/>
        <w:ind w:firstLine="709" w:left="0" w:right="0"/>
        <w:jc w:val="both"/>
        <w:rPr>
          <w:b w:val="0"/>
        </w:rPr>
      </w:pPr>
      <w:r>
        <w:rPr>
          <w:b w:val="0"/>
        </w:rPr>
        <w:t>4.</w:t>
      </w:r>
      <w:r>
        <w:rPr>
          <w:rFonts w:ascii="Times New Roman" w:hAnsi="Times New Roman"/>
          <w:b w:val="0"/>
          <w:color w:val="000000"/>
          <w:spacing w:val="0"/>
          <w:sz w:val="28"/>
        </w:rPr>
        <w:t> </w:t>
      </w:r>
      <w:r>
        <w:rPr>
          <w:b w:val="0"/>
          <w:sz w:val="28"/>
        </w:rPr>
        <w:t>Комитету по управлению муниципальным имуществом города Ставрополя</w:t>
      </w:r>
      <w:r>
        <w:rPr>
          <w:b w:val="0"/>
        </w:rPr>
        <w:t xml:space="preserve"> утвердить конкурсную </w:t>
      </w:r>
      <w:r>
        <w:rPr>
          <w:b w:val="0"/>
        </w:rPr>
        <w:t xml:space="preserve">документацию </w:t>
      </w:r>
      <w:r>
        <w:t>открытого конкурса</w:t>
      </w:r>
      <w:r>
        <w:br/>
      </w:r>
      <w:r>
        <w:rPr>
          <w:b w:val="0"/>
        </w:rPr>
        <w:t>в течение 5 рабочих дней со дня вступления в силу настоящего постановления</w:t>
      </w:r>
      <w:r>
        <w:t>.</w:t>
      </w:r>
    </w:p>
    <w:p w14:paraId="28000000">
      <w:pPr>
        <w:pStyle w:val="Style_3"/>
        <w:spacing w:line="240" w:lineRule="auto"/>
        <w:ind w:firstLine="709" w:left="0" w:right="0"/>
        <w:jc w:val="both"/>
        <w:rPr>
          <w:b w:val="0"/>
        </w:rPr>
      </w:pPr>
      <w:r>
        <w:rPr>
          <w:b w:val="0"/>
        </w:rPr>
        <w:t>5.</w:t>
      </w:r>
      <w:r>
        <w:rPr>
          <w:rFonts w:ascii="Times New Roman" w:hAnsi="Times New Roman"/>
          <w:b w:val="0"/>
          <w:color w:val="000000"/>
          <w:spacing w:val="0"/>
          <w:sz w:val="28"/>
        </w:rPr>
        <w:t> </w:t>
      </w:r>
      <w:r>
        <w:rPr>
          <w:b w:val="0"/>
        </w:rPr>
        <w:t>Конкурсной комиссии обеспечить опубликование сообщения</w:t>
      </w:r>
      <w:r>
        <w:rPr>
          <w:sz w:val="28"/>
        </w:rPr>
        <w:t xml:space="preserve"> </w:t>
      </w:r>
      <w:r>
        <w:br/>
      </w:r>
      <w:r>
        <w:rPr>
          <w:sz w:val="28"/>
        </w:rPr>
        <w:t>о проведении открытого конкурса</w:t>
      </w:r>
      <w:r>
        <w:rPr>
          <w:sz w:val="28"/>
        </w:rPr>
        <w:t xml:space="preserve"> </w:t>
      </w:r>
      <w:r>
        <w:rPr>
          <w:sz w:val="28"/>
        </w:rPr>
        <w:t xml:space="preserve">на официальном сайте для </w:t>
      </w:r>
      <w:r>
        <w:rPr>
          <w:b w:val="0"/>
        </w:rPr>
        <w:t xml:space="preserve">размещения информации о проведении торгов, определенном Правительством Российской Федерации, www.torgi.gov.ru </w:t>
      </w:r>
      <w:r>
        <w:rPr>
          <w:b w:val="0"/>
        </w:rPr>
        <w:t>в течение 5 рабочих дней со дня утверждения конкурсной документации</w:t>
      </w:r>
      <w:r>
        <w:rPr>
          <w:b w:val="0"/>
        </w:rPr>
        <w:t>.</w:t>
      </w:r>
    </w:p>
    <w:p w14:paraId="29000000">
      <w:pPr>
        <w:pStyle w:val="Style_3"/>
        <w:spacing w:line="240" w:lineRule="auto"/>
        <w:ind w:firstLine="709" w:left="0" w:right="0"/>
        <w:jc w:val="both"/>
        <w:rPr>
          <w:b w:val="0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Определить</w:t>
      </w:r>
      <w:r>
        <w:rPr>
          <w:b w:val="0"/>
        </w:rPr>
        <w:t xml:space="preserve"> </w:t>
      </w:r>
      <w:r>
        <w:rPr>
          <w:b w:val="0"/>
          <w:sz w:val="28"/>
        </w:rPr>
        <w:t>комитет по управлению муниципальным имуществом города Ставрополя уполномоченным органом на осуществление</w:t>
      </w:r>
      <w:r>
        <w:rPr>
          <w:b w:val="0"/>
        </w:rPr>
        <w:t xml:space="preserve"> отдельных прав и обязанностей концедента </w:t>
      </w:r>
      <w:r>
        <w:rPr>
          <w:b w:val="0"/>
        </w:rPr>
        <w:t>при исполнении концессионного соглашения в части</w:t>
      </w:r>
      <w:r>
        <w:rPr>
          <w:b w:val="0"/>
        </w:rPr>
        <w:t>:</w:t>
      </w:r>
    </w:p>
    <w:p w14:paraId="2A000000">
      <w:pPr>
        <w:spacing w:after="0" w:before="0"/>
        <w:ind w:firstLine="709" w:left="0" w:right="0"/>
        <w:jc w:val="both"/>
        <w:rPr>
          <w:b w:val="0"/>
        </w:rPr>
      </w:pPr>
      <w:r>
        <w:rPr>
          <w:b w:val="0"/>
        </w:rPr>
        <w:t>1) передачи объекта концессионного соглашения концессионеру, в том числе подписания акта приема</w:t>
      </w:r>
      <w:r>
        <w:rPr>
          <w:b w:val="0"/>
        </w:rPr>
        <w:t>-передачи объекта концессионного со</w:t>
      </w:r>
      <w:r>
        <w:rPr>
          <w:b w:val="0"/>
        </w:rPr>
        <w:t>глашения</w:t>
      </w:r>
      <w:r>
        <w:rPr>
          <w:b w:val="0"/>
        </w:rPr>
        <w:t>;</w:t>
      </w:r>
    </w:p>
    <w:p w14:paraId="2B000000">
      <w:pPr>
        <w:spacing w:after="0" w:before="0"/>
        <w:ind w:firstLine="709" w:left="0" w:right="0"/>
        <w:jc w:val="both"/>
        <w:rPr>
          <w:b w:val="0"/>
          <w:shd w:fill="CAA4FF" w:val="clear"/>
        </w:rPr>
      </w:pPr>
      <w:r>
        <w:rPr>
          <w:b w:val="0"/>
        </w:rPr>
        <w:t>2) п</w:t>
      </w:r>
      <w:r>
        <w:rPr>
          <w:b w:val="0"/>
        </w:rPr>
        <w:t>олучения</w:t>
      </w:r>
      <w:r>
        <w:rPr>
          <w:b w:val="0"/>
        </w:rPr>
        <w:t xml:space="preserve"> </w:t>
      </w:r>
      <w:r>
        <w:t>концессионной платы</w:t>
      </w:r>
      <w:r>
        <w:t>;</w:t>
      </w:r>
    </w:p>
    <w:p w14:paraId="2C000000">
      <w:pPr>
        <w:spacing w:after="0" w:before="0"/>
        <w:ind w:firstLine="709" w:left="0" w:right="0"/>
        <w:jc w:val="both"/>
        <w:rPr>
          <w:b w:val="0"/>
        </w:rPr>
      </w:pPr>
      <w:r>
        <w:rPr>
          <w:b w:val="0"/>
        </w:rPr>
        <w:t>3)</w:t>
      </w:r>
      <w:r>
        <w:rPr>
          <w:rFonts w:ascii="Times New Roman" w:hAnsi="Times New Roman"/>
          <w:b w:val="0"/>
          <w:color w:val="000000"/>
          <w:spacing w:val="0"/>
          <w:sz w:val="28"/>
        </w:rPr>
        <w:t> </w:t>
      </w:r>
      <w:r>
        <w:rPr>
          <w:b w:val="0"/>
        </w:rPr>
        <w:t xml:space="preserve">осуществления контроля за соблюдением концессионером обязательств по </w:t>
      </w:r>
      <w:r>
        <w:rPr>
          <w:b w:val="0"/>
        </w:rPr>
        <w:t xml:space="preserve">реконструкции объекта концессионного соглашения, </w:t>
      </w:r>
      <w:r>
        <w:rPr>
          <w:sz w:val="28"/>
        </w:rPr>
        <w:t xml:space="preserve">страхованию риска случайной гибели и случайного повреждения объекта концессионного соглашения, </w:t>
      </w:r>
      <w:r>
        <w:rPr>
          <w:b w:val="0"/>
        </w:rPr>
        <w:t>внесению концессионной платы;</w:t>
      </w:r>
    </w:p>
    <w:p w14:paraId="2D000000">
      <w:pPr>
        <w:spacing w:after="0" w:before="0"/>
        <w:ind w:firstLine="709" w:left="0" w:right="0"/>
        <w:jc w:val="both"/>
        <w:rPr>
          <w:b w:val="0"/>
        </w:rPr>
      </w:pPr>
      <w:r>
        <w:rPr>
          <w:b w:val="0"/>
        </w:rPr>
        <w:t>4) принятия</w:t>
      </w:r>
      <w:r>
        <w:rPr>
          <w:b w:val="0"/>
        </w:rPr>
        <w:t xml:space="preserve"> объекта концессионного соглашения при прекращении концессионного соглашения,</w:t>
      </w:r>
      <w:r>
        <w:rPr>
          <w:b w:val="0"/>
        </w:rPr>
        <w:t xml:space="preserve"> в том числе подписания акта приема</w:t>
      </w:r>
      <w:r>
        <w:rPr>
          <w:b w:val="0"/>
        </w:rPr>
        <w:t>-передачи объекта концессионного соглашения</w:t>
      </w:r>
      <w:r>
        <w:rPr>
          <w:b w:val="0"/>
        </w:rPr>
        <w:t>.</w:t>
      </w:r>
    </w:p>
    <w:p w14:paraId="2E000000">
      <w:pPr>
        <w:tabs>
          <w:tab w:leader="none" w:pos="1120" w:val="left"/>
        </w:tabs>
        <w:ind w:firstLine="709" w:left="0"/>
        <w:jc w:val="both"/>
      </w:pPr>
      <w:r>
        <w:t xml:space="preserve">7. Настоящее постановление вступает в силу на следующий день после дня его официального опубликования в </w:t>
      </w:r>
      <w:r>
        <w:rPr>
          <w:rFonts w:ascii="Times New Roman" w:hAnsi="Times New Roman"/>
          <w:sz w:val="28"/>
        </w:rPr>
        <w:t xml:space="preserve">сетевом издании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Правовой </w:t>
      </w:r>
      <w:r>
        <w:br/>
      </w:r>
      <w:r>
        <w:rPr>
          <w:rFonts w:ascii="Times New Roman" w:hAnsi="Times New Roman"/>
          <w:sz w:val="28"/>
        </w:rPr>
        <w:t>портал администрации города Ставрополя» (</w:t>
      </w:r>
      <w:r>
        <w:rPr>
          <w:rFonts w:ascii="Times New Roman" w:hAnsi="Times New Roman"/>
          <w:sz w:val="28"/>
        </w:rPr>
        <w:t>право-ставрополь</w:t>
      </w:r>
      <w:r>
        <w:rPr>
          <w:rFonts w:ascii="Times New Roman" w:hAnsi="Times New Roman"/>
          <w:sz w:val="28"/>
        </w:rPr>
        <w:t>.р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)</w:t>
      </w:r>
      <w:r>
        <w:t>.</w:t>
      </w:r>
    </w:p>
    <w:p w14:paraId="2F000000">
      <w:pPr>
        <w:pStyle w:val="Style_3"/>
        <w:tabs>
          <w:tab w:leader="none" w:pos="709" w:val="clear"/>
          <w:tab w:leader="none" w:pos="1120" w:val="left"/>
        </w:tabs>
        <w:spacing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8.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 xml:space="preserve">Разместить настоящее постановление на официальном </w:t>
      </w:r>
      <w:r>
        <w:br/>
      </w:r>
      <w:r>
        <w:rPr>
          <w:sz w:val="28"/>
        </w:rPr>
        <w:t>сайте администрации города Ставрополя в информационно-телекоммуникационной сети «Интернет»</w:t>
      </w:r>
      <w:r>
        <w:rPr>
          <w:sz w:val="28"/>
        </w:rPr>
        <w:t>.</w:t>
      </w:r>
    </w:p>
    <w:p w14:paraId="30000000">
      <w:pPr>
        <w:pStyle w:val="Style_3"/>
        <w:tabs>
          <w:tab w:leader="none" w:pos="709" w:val="clear"/>
          <w:tab w:leader="none" w:pos="1120" w:val="left"/>
        </w:tabs>
        <w:spacing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9. </w:t>
      </w:r>
      <w:r>
        <w:rPr>
          <w:sz w:val="28"/>
          <w:highlight w:val="white"/>
        </w:rPr>
        <w:t>Контроль исполнения настоящего постановления оставляю за собой.</w:t>
      </w:r>
    </w:p>
    <w:p w14:paraId="31000000">
      <w:pPr>
        <w:pStyle w:val="Style_3"/>
        <w:tabs>
          <w:tab w:leader="none" w:pos="709" w:val="clear"/>
          <w:tab w:leader="none" w:pos="1120" w:val="left"/>
        </w:tabs>
        <w:spacing w:line="240" w:lineRule="auto"/>
        <w:ind w:firstLine="709" w:left="0" w:right="0"/>
        <w:jc w:val="both"/>
        <w:rPr>
          <w:sz w:val="28"/>
        </w:rPr>
      </w:pPr>
    </w:p>
    <w:p w14:paraId="32000000">
      <w:pPr>
        <w:pStyle w:val="Style_3"/>
        <w:tabs>
          <w:tab w:leader="none" w:pos="709" w:val="clear"/>
          <w:tab w:leader="none" w:pos="1120" w:val="left"/>
        </w:tabs>
        <w:spacing w:line="240" w:lineRule="auto"/>
        <w:ind w:firstLine="709" w:left="0" w:right="0"/>
        <w:jc w:val="both"/>
        <w:rPr>
          <w:sz w:val="28"/>
        </w:rPr>
      </w:pPr>
    </w:p>
    <w:p w14:paraId="33000000">
      <w:pPr>
        <w:pStyle w:val="Style_3"/>
        <w:tabs>
          <w:tab w:leader="none" w:pos="709" w:val="clear"/>
          <w:tab w:leader="none" w:pos="1120" w:val="left"/>
        </w:tabs>
        <w:spacing w:line="240" w:lineRule="auto"/>
        <w:ind w:firstLine="709" w:left="0" w:right="0"/>
        <w:jc w:val="both"/>
        <w:rPr>
          <w:sz w:val="28"/>
        </w:rPr>
      </w:pPr>
    </w:p>
    <w:p w14:paraId="34000000">
      <w:pPr>
        <w:pStyle w:val="Style_3"/>
        <w:tabs>
          <w:tab w:leader="none" w:pos="709" w:val="clear"/>
          <w:tab w:leader="none" w:pos="9072" w:val="right"/>
        </w:tabs>
        <w:spacing w:line="240" w:lineRule="auto"/>
        <w:ind w:firstLine="0" w:left="0" w:right="0"/>
        <w:rPr>
          <w:sz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 xml:space="preserve">                                                            И.И. Ульянченко</w:t>
      </w:r>
    </w:p>
    <w:p w14:paraId="35000000">
      <w:pPr>
        <w:sectPr>
          <w:headerReference r:id="rId1" w:type="even"/>
          <w:type w:val="nextPage"/>
          <w:pgSz w:h="16848" w:orient="portrait" w:w="11908"/>
          <w:pgMar w:bottom="1134" w:footer="0" w:gutter="0" w:header="709" w:left="1984" w:right="567" w:top="0"/>
          <w:pgNumType w:fmt="decimal"/>
          <w:titlePg/>
        </w:sectPr>
      </w:pPr>
    </w:p>
    <w:p w14:paraId="36000000">
      <w:pPr>
        <w:spacing w:after="0" w:before="168" w:line="240" w:lineRule="exact"/>
        <w:ind w:firstLine="0" w:left="5102" w:right="0"/>
        <w:jc w:val="left"/>
        <w:rPr>
          <w:b w:val="0"/>
        </w:rPr>
      </w:pPr>
      <w:r>
        <w:t>УСТАНОВЛЕНЫ</w:t>
      </w:r>
      <w:r>
        <w:br/>
      </w:r>
    </w:p>
    <w:p w14:paraId="37000000">
      <w:pPr>
        <w:spacing w:after="0" w:before="0" w:line="240" w:lineRule="exact"/>
        <w:ind w:firstLine="0" w:left="5102" w:right="0"/>
        <w:jc w:val="left"/>
        <w:rPr>
          <w:b w:val="0"/>
        </w:rPr>
      </w:pPr>
      <w:r>
        <w:rPr>
          <w:b w:val="0"/>
        </w:rPr>
        <w:t>постановлением</w:t>
      </w:r>
    </w:p>
    <w:p w14:paraId="38000000">
      <w:pPr>
        <w:spacing w:after="0" w:before="0" w:line="240" w:lineRule="exact"/>
        <w:ind w:firstLine="0" w:left="5102" w:right="0"/>
        <w:jc w:val="left"/>
        <w:rPr>
          <w:b w:val="0"/>
        </w:rPr>
      </w:pPr>
      <w:r>
        <w:rPr>
          <w:b w:val="0"/>
        </w:rPr>
        <w:t>администрации города Ставрополя</w:t>
      </w:r>
    </w:p>
    <w:p w14:paraId="39000000">
      <w:pPr>
        <w:spacing w:after="0" w:before="0" w:line="240" w:lineRule="exact"/>
        <w:ind w:firstLine="0" w:left="5102" w:right="0"/>
        <w:jc w:val="left"/>
        <w:rPr>
          <w:b w:val="0"/>
        </w:rPr>
      </w:pPr>
      <w:r>
        <w:rPr>
          <w:b w:val="0"/>
        </w:rPr>
        <w:t>от 03.06.2024 № 1072</w:t>
      </w:r>
    </w:p>
    <w:p w14:paraId="3A000000">
      <w:pPr>
        <w:pStyle w:val="Style_3"/>
        <w:tabs>
          <w:tab w:leader="none" w:pos="709" w:val="clear"/>
          <w:tab w:leader="none" w:pos="9072" w:val="right"/>
        </w:tabs>
        <w:spacing w:line="240" w:lineRule="exact"/>
        <w:ind w:firstLine="709" w:left="0" w:right="0"/>
      </w:pPr>
    </w:p>
    <w:p w14:paraId="3B000000">
      <w:pPr>
        <w:pStyle w:val="Style_3"/>
        <w:tabs>
          <w:tab w:leader="none" w:pos="709" w:val="clear"/>
          <w:tab w:leader="none" w:pos="9072" w:val="right"/>
        </w:tabs>
        <w:spacing w:line="240" w:lineRule="exact"/>
        <w:ind w:firstLine="709" w:left="0" w:right="0"/>
      </w:pPr>
    </w:p>
    <w:p w14:paraId="3C000000">
      <w:pPr>
        <w:pStyle w:val="Style_3"/>
        <w:tabs>
          <w:tab w:leader="none" w:pos="709" w:val="clear"/>
          <w:tab w:leader="none" w:pos="9072" w:val="right"/>
        </w:tabs>
        <w:spacing w:line="240" w:lineRule="exact"/>
        <w:ind w:firstLine="709" w:left="0" w:right="0"/>
        <w:jc w:val="center"/>
      </w:pPr>
    </w:p>
    <w:p w14:paraId="3D000000">
      <w:pPr>
        <w:pStyle w:val="Style_3"/>
        <w:tabs>
          <w:tab w:leader="none" w:pos="709" w:val="clear"/>
          <w:tab w:leader="none" w:pos="9072" w:val="right"/>
        </w:tabs>
        <w:spacing w:line="240" w:lineRule="exact"/>
        <w:ind w:firstLine="0" w:left="0" w:right="0"/>
        <w:jc w:val="center"/>
      </w:pPr>
      <w:r>
        <w:t>УСЛОВИЯ</w:t>
      </w:r>
    </w:p>
    <w:p w14:paraId="3E000000">
      <w:pPr>
        <w:pStyle w:val="Style_3"/>
        <w:tabs>
          <w:tab w:leader="none" w:pos="709" w:val="clear"/>
          <w:tab w:leader="none" w:pos="9072" w:val="right"/>
        </w:tabs>
        <w:spacing w:line="240" w:lineRule="exact"/>
        <w:ind w:firstLine="0" w:left="0" w:right="0"/>
        <w:jc w:val="center"/>
        <w:rPr>
          <w:sz w:val="28"/>
        </w:rPr>
      </w:pPr>
      <w:r>
        <w:rPr>
          <w:sz w:val="28"/>
        </w:rPr>
        <w:t xml:space="preserve">концессионного соглашения </w:t>
      </w:r>
      <w:r>
        <w:rPr>
          <w:color w:themeColor="text1" w:val="000000"/>
          <w:sz w:val="28"/>
          <w:highlight w:val="white"/>
        </w:rPr>
        <w:t xml:space="preserve">в отношении </w:t>
      </w:r>
      <w:r>
        <w:rPr>
          <w:rFonts w:ascii="Times New Roman" w:hAnsi="Times New Roman"/>
          <w:sz w:val="28"/>
        </w:rPr>
        <w:t xml:space="preserve">здания </w:t>
      </w:r>
      <w:r>
        <w:rPr>
          <w:rFonts w:ascii="Times New Roman" w:hAnsi="Times New Roman"/>
          <w:sz w:val="28"/>
        </w:rPr>
        <w:t xml:space="preserve">бани </w:t>
      </w:r>
      <w:r>
        <w:br/>
      </w:r>
      <w:r>
        <w:rPr>
          <w:rFonts w:ascii="Times New Roman" w:hAnsi="Times New Roman"/>
          <w:sz w:val="28"/>
        </w:rPr>
        <w:t xml:space="preserve">с кадастровым номером 26:12:030732:205, </w:t>
      </w:r>
      <w:r>
        <w:rPr>
          <w:rFonts w:ascii="Times New Roman" w:hAnsi="Times New Roman"/>
          <w:sz w:val="28"/>
        </w:rPr>
        <w:t xml:space="preserve">расположенного </w:t>
      </w:r>
      <w:r>
        <w:br/>
      </w:r>
      <w:r>
        <w:rPr>
          <w:rFonts w:ascii="Times New Roman" w:hAnsi="Times New Roman"/>
          <w:sz w:val="28"/>
        </w:rPr>
        <w:t xml:space="preserve">по адресу: </w:t>
      </w:r>
      <w:r>
        <w:rPr>
          <w:rFonts w:ascii="Times New Roman" w:hAnsi="Times New Roman"/>
          <w:color w:val="000000"/>
          <w:sz w:val="28"/>
          <w:highlight w:val="white"/>
        </w:rPr>
        <w:t xml:space="preserve">Российская Федерация, Ставропольский край, </w:t>
      </w:r>
      <w:r>
        <w:br/>
      </w:r>
      <w:r>
        <w:rPr>
          <w:rFonts w:ascii="Times New Roman" w:hAnsi="Times New Roman"/>
          <w:color w:val="000000"/>
          <w:sz w:val="28"/>
          <w:highlight w:val="white"/>
        </w:rPr>
        <w:t xml:space="preserve">г. Ставрополь, </w:t>
      </w:r>
      <w:r>
        <w:rPr>
          <w:rFonts w:ascii="Times New Roman" w:hAnsi="Times New Roman"/>
          <w:color w:val="000000"/>
          <w:sz w:val="28"/>
          <w:highlight w:val="white"/>
        </w:rPr>
        <w:t>пер. Крупской, стр. 29в</w:t>
      </w:r>
    </w:p>
    <w:p w14:paraId="3F000000">
      <w:pPr>
        <w:pStyle w:val="Style_3"/>
        <w:tabs>
          <w:tab w:leader="none" w:pos="709" w:val="clear"/>
          <w:tab w:leader="none" w:pos="9072" w:val="right"/>
        </w:tabs>
        <w:spacing w:line="240" w:lineRule="exact"/>
        <w:ind w:firstLine="0" w:left="0" w:right="0"/>
        <w:jc w:val="center"/>
      </w:pPr>
    </w:p>
    <w:p w14:paraId="40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1.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Наименование, место нахождения, номер телефона концедента, адрес его официального сайта </w:t>
      </w:r>
      <w:r>
        <w:rPr>
          <w:rFonts w:ascii="Times New Roman" w:hAnsi="Times New Roman"/>
          <w:b w:val="0"/>
          <w:i w:val="0"/>
          <w:color w:val="000000"/>
          <w:sz w:val="28"/>
        </w:rPr>
        <w:t>в информационно-телекоммуникационной сети «Интернет», данные должностных лиц:</w:t>
      </w:r>
    </w:p>
    <w:tbl>
      <w:tblPr>
        <w:tblStyle w:val="Style_5"/>
        <w:tblW w:type="auto" w:w="0"/>
        <w:tblBorders>
          <w:top w:sz="4" w:val="single"/>
          <w:left w:sz="4" w:val="single"/>
          <w:bottom w:sz="4" w:val="single"/>
          <w:right w:sz="4" w:val="single"/>
        </w:tblBorders>
        <w:tblLayout w:type="fixed"/>
      </w:tblPr>
      <w:tblGrid>
        <w:gridCol w:w="2363"/>
        <w:gridCol w:w="6994"/>
      </w:tblGrid>
      <w:tr>
        <w:tc>
          <w:tcPr>
            <w:tcW w:type="dxa" w:w="23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41000000">
            <w:pPr>
              <w:spacing w:after="0" w:before="0"/>
              <w:ind w:firstLine="0" w:left="0" w:righ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Концедент:</w:t>
            </w:r>
          </w:p>
        </w:tc>
        <w:tc>
          <w:tcPr>
            <w:tcW w:type="dxa" w:w="6994"/>
            <w:tcBorders>
              <w:top w:color="000000" w:sz="8" w:val="single"/>
              <w:left w:color="000000" w:sz="8" w:val="nil"/>
              <w:bottom w:color="000000" w:sz="8" w:val="single"/>
              <w:right w:color="000000" w:sz="8" w:val="single"/>
            </w:tcBorders>
            <w:vAlign w:val="top"/>
          </w:tcPr>
          <w:p w14:paraId="42000000">
            <w:pPr>
              <w:spacing w:after="0" w:before="0"/>
              <w:ind w:firstLine="0"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муниципальное образование город Ставрополь Ставропольского края, от </w:t>
            </w:r>
            <w:r>
              <w:rPr>
                <w:b w:val="0"/>
                <w:sz w:val="24"/>
              </w:rPr>
              <w:t>имени которого выступает администрация города Ставрополя</w:t>
            </w:r>
          </w:p>
        </w:tc>
      </w:tr>
      <w:tr>
        <w:tc>
          <w:tcPr>
            <w:tcW w:type="dxa" w:w="2363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43000000">
            <w:pPr>
              <w:spacing w:after="0" w:before="0"/>
              <w:ind w:firstLine="0" w:left="0" w:right="0"/>
              <w:jc w:val="both"/>
              <w:rPr>
                <w:sz w:val="24"/>
              </w:rPr>
            </w:pPr>
            <w:r>
              <w:rPr>
                <w:sz w:val="24"/>
              </w:rPr>
              <w:t>Место нахождения:</w:t>
            </w:r>
          </w:p>
        </w:tc>
        <w:tc>
          <w:tcPr>
            <w:tcW w:type="dxa" w:w="6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44000000">
            <w:pPr>
              <w:spacing w:after="0" w:before="0"/>
              <w:ind w:firstLine="0" w:left="0" w:righ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Российская </w:t>
            </w:r>
            <w:r>
              <w:rPr>
                <w:sz w:val="24"/>
              </w:rPr>
              <w:t xml:space="preserve">Федерация, 355035, </w:t>
            </w:r>
            <w:r>
              <w:rPr>
                <w:sz w:val="24"/>
              </w:rPr>
              <w:t>Ставропольский край,</w:t>
            </w:r>
            <w:r>
              <w:br/>
            </w:r>
            <w:r>
              <w:rPr>
                <w:sz w:val="24"/>
              </w:rPr>
              <w:t xml:space="preserve">город Ставрополь, </w:t>
            </w:r>
            <w:r>
              <w:rPr>
                <w:sz w:val="24"/>
              </w:rPr>
              <w:t>просп. К. Маркса, 96</w:t>
            </w:r>
          </w:p>
        </w:tc>
      </w:tr>
      <w:tr>
        <w:tc>
          <w:tcPr>
            <w:tcW w:type="dxa" w:w="2363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45000000">
            <w:pPr>
              <w:spacing w:after="0" w:before="0"/>
              <w:ind w:firstLine="0" w:left="0" w:right="0"/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почта:</w:t>
            </w:r>
          </w:p>
        </w:tc>
        <w:tc>
          <w:tcPr>
            <w:tcW w:type="dxa" w:w="6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46000000">
            <w:pPr>
              <w:spacing w:after="0" w:before="0"/>
              <w:ind w:firstLine="0" w:left="0" w:right="0"/>
              <w:jc w:val="both"/>
              <w:rPr>
                <w:sz w:val="24"/>
              </w:rPr>
            </w:pPr>
            <w:r>
              <w:rPr>
                <w:sz w:val="24"/>
              </w:rPr>
              <w:t>goradm@stavadm.ru</w:t>
            </w:r>
          </w:p>
        </w:tc>
      </w:tr>
      <w:tr>
        <w:tc>
          <w:tcPr>
            <w:tcW w:type="dxa" w:w="2363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47000000">
            <w:pPr>
              <w:spacing w:after="0" w:before="0"/>
              <w:ind w:firstLine="0" w:left="0" w:right="0"/>
              <w:jc w:val="both"/>
              <w:rPr>
                <w:sz w:val="24"/>
              </w:rPr>
            </w:pPr>
            <w:r>
              <w:rPr>
                <w:sz w:val="24"/>
              </w:rPr>
              <w:t>Сайт:</w:t>
            </w:r>
          </w:p>
        </w:tc>
        <w:tc>
          <w:tcPr>
            <w:tcW w:type="dxa" w:w="6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48000000">
            <w:pPr>
              <w:spacing w:after="0" w:before="0"/>
              <w:ind w:firstLine="0" w:left="0" w:right="0"/>
              <w:jc w:val="both"/>
              <w:rPr>
                <w:sz w:val="24"/>
              </w:rPr>
            </w:pPr>
            <w:r>
              <w:rPr>
                <w:sz w:val="24"/>
              </w:rPr>
              <w:t>https://ставрополь.рф/</w:t>
            </w:r>
          </w:p>
        </w:tc>
      </w:tr>
      <w:tr>
        <w:tc>
          <w:tcPr>
            <w:tcW w:type="dxa" w:w="2363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49000000">
            <w:pPr>
              <w:spacing w:after="0" w:before="0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Представитель концедента:</w:t>
            </w:r>
          </w:p>
        </w:tc>
        <w:tc>
          <w:tcPr>
            <w:tcW w:type="dxa" w:w="6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4A000000">
            <w:pPr>
              <w:spacing w:after="0" w:before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комитет по управлению муниципальным имуществом города Ставрополя</w:t>
            </w:r>
          </w:p>
        </w:tc>
      </w:tr>
      <w:tr>
        <w:tc>
          <w:tcPr>
            <w:tcW w:type="dxa" w:w="2363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4B000000">
            <w:pPr>
              <w:spacing w:after="0" w:before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Место нахождения:</w:t>
            </w:r>
          </w:p>
        </w:tc>
        <w:tc>
          <w:tcPr>
            <w:tcW w:type="dxa" w:w="6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4C000000">
            <w:pPr>
              <w:spacing w:after="0" w:before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Росс</w:t>
            </w:r>
            <w:r>
              <w:rPr>
                <w:rFonts w:ascii="Times New Roman" w:hAnsi="Times New Roman"/>
                <w:color w:val="000000"/>
                <w:sz w:val="24"/>
              </w:rPr>
              <w:t>ийская Федерация, 3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55000, Ставропольский край,                               город Ставрополь, </w:t>
            </w:r>
            <w:r>
              <w:rPr>
                <w:sz w:val="24"/>
              </w:rPr>
              <w:t>просп. К. Маркса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, 92</w:t>
            </w:r>
          </w:p>
        </w:tc>
      </w:tr>
      <w:tr>
        <w:tc>
          <w:tcPr>
            <w:tcW w:type="dxa" w:w="2363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4D000000">
            <w:pPr>
              <w:spacing w:after="0" w:before="0"/>
              <w:ind w:firstLine="0" w:left="0" w:right="0"/>
              <w:jc w:val="both"/>
              <w:rPr>
                <w:sz w:val="24"/>
              </w:rPr>
            </w:pPr>
            <w:r>
              <w:rPr>
                <w:sz w:val="24"/>
              </w:rPr>
              <w:t>Телефон:</w:t>
            </w:r>
          </w:p>
        </w:tc>
        <w:tc>
          <w:tcPr>
            <w:tcW w:type="dxa" w:w="6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4E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8 (8652) 74-75-85</w:t>
            </w:r>
          </w:p>
        </w:tc>
      </w:tr>
      <w:tr>
        <w:tc>
          <w:tcPr>
            <w:tcW w:type="dxa" w:w="2363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4F000000">
            <w:pPr>
              <w:spacing w:after="0" w:before="0"/>
              <w:ind w:firstLine="0" w:left="0" w:right="0"/>
              <w:jc w:val="both"/>
              <w:rPr>
                <w:sz w:val="24"/>
              </w:rPr>
            </w:pPr>
            <w:r>
              <w:rPr>
                <w:sz w:val="24"/>
              </w:rPr>
              <w:t>Сайт:</w:t>
            </w:r>
          </w:p>
        </w:tc>
        <w:tc>
          <w:tcPr>
            <w:tcW w:type="dxa" w:w="6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50000000">
            <w:pPr>
              <w:spacing w:after="0" w:before="0"/>
              <w:ind w:firstLine="0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https://ставрополь.рф/about/pervui_zamestitel_glavu1/komitet_po_ upravleniu_municipalnum_imuchestvom/</w:t>
            </w:r>
          </w:p>
        </w:tc>
      </w:tr>
      <w:tr>
        <w:tc>
          <w:tcPr>
            <w:tcW w:type="dxa" w:w="2363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51000000">
            <w:pPr>
              <w:spacing w:after="0" w:before="0"/>
              <w:ind w:firstLine="0" w:left="0" w:right="0"/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почта:</w:t>
            </w:r>
          </w:p>
        </w:tc>
        <w:tc>
          <w:tcPr>
            <w:tcW w:type="dxa" w:w="6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52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u w:color="000000" w:val="no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u w:color="000000" w:val="none"/>
              </w:rPr>
              <w:instrText>HYPERLINK "mailto:kumi@stavadm.ru"</w:instrTex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u w:color="000000" w:val="non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u w:color="000000" w:val="none"/>
              </w:rPr>
              <w:t>umi@stavadm.ru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u w:color="000000" w:val="none"/>
              </w:rPr>
              <w:fldChar w:fldCharType="end"/>
            </w:r>
          </w:p>
        </w:tc>
      </w:tr>
      <w:tr>
        <w:trPr>
          <w:trHeight w:hRule="atLeast" w:val="475"/>
        </w:trPr>
        <w:tc>
          <w:tcPr>
            <w:tcW w:type="dxa" w:w="2363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53000000">
            <w:pPr>
              <w:spacing w:after="0" w:before="0"/>
              <w:ind w:firstLine="0" w:left="0" w:right="0"/>
              <w:jc w:val="both"/>
              <w:rPr>
                <w:sz w:val="24"/>
              </w:rPr>
            </w:pPr>
            <w:r>
              <w:rPr>
                <w:sz w:val="24"/>
              </w:rPr>
              <w:t>Должностное лицо:</w:t>
            </w:r>
          </w:p>
        </w:tc>
        <w:tc>
          <w:tcPr>
            <w:tcW w:type="dxa" w:w="6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54000000">
            <w:pPr>
              <w:spacing w:after="0" w:before="0"/>
              <w:ind w:firstLine="0" w:left="0" w:right="0"/>
              <w:jc w:val="left"/>
              <w:rPr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Бенедюк Нина Викторовна</w:t>
            </w:r>
            <w:r>
              <w:rPr>
                <w:b w:val="0"/>
                <w:color w:val="000000"/>
                <w:sz w:val="24"/>
              </w:rPr>
              <w:t xml:space="preserve"> – первый заместитель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 руководителя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комитета по управлению муниципальным имуществом города Ставрополя</w:t>
            </w:r>
          </w:p>
        </w:tc>
      </w:tr>
    </w:tbl>
    <w:p w14:paraId="55000000">
      <w:pPr>
        <w:pStyle w:val="Style_3"/>
        <w:tabs>
          <w:tab w:leader="none" w:pos="709" w:val="clear"/>
          <w:tab w:leader="none" w:pos="9072" w:val="right"/>
        </w:tabs>
        <w:spacing w:after="0" w:before="0" w:line="240" w:lineRule="auto"/>
        <w:ind w:firstLine="709" w:left="0" w:right="0"/>
        <w:jc w:val="both"/>
      </w:pPr>
      <w:r>
        <w:t>2. Объект концессионного соглашения.</w:t>
      </w:r>
    </w:p>
    <w:p w14:paraId="56000000">
      <w:pPr>
        <w:pStyle w:val="Style_3"/>
        <w:tabs>
          <w:tab w:leader="none" w:pos="709" w:val="clear"/>
          <w:tab w:leader="none" w:pos="9072" w:val="right"/>
        </w:tabs>
        <w:spacing w:after="0" w:before="0" w:line="240" w:lineRule="auto"/>
        <w:ind w:firstLine="709" w:left="0" w:right="0"/>
        <w:jc w:val="both"/>
      </w:pPr>
      <w:r>
        <w:t>Объектом концессионного соглашения, подлежащим реконструкции, является здание бани, назначение: нежилое, 2-этажное, в том числе имеется</w:t>
      </w:r>
      <w:r>
        <w:br/>
      </w:r>
      <w:r>
        <w:t>1 подземный этаж, площадь 605,1 кв. м, к</w:t>
      </w:r>
      <w:r>
        <w:t>онструктивный тип объекта</w:t>
      </w:r>
      <w:r>
        <w:t>: к</w:t>
      </w:r>
      <w:r>
        <w:t>ирпичное здание с несущими</w:t>
      </w:r>
      <w:r>
        <w:t xml:space="preserve"> стенами</w:t>
      </w:r>
      <w:r>
        <w:t>, год завершения строительства:</w:t>
      </w:r>
      <w:r>
        <w:br/>
      </w:r>
      <w:r>
        <w:t>1969 год, возраст здания: 55 лет,</w:t>
      </w:r>
      <w:r>
        <w:t xml:space="preserve"> последний год эксплуатации: 2021 год</w:t>
      </w:r>
      <w:r>
        <w:t>, у</w:t>
      </w:r>
      <w:r>
        <w:t>становленная категория технического состояния: о</w:t>
      </w:r>
      <w:r>
        <w:t>граниченно-работоспособное,</w:t>
      </w:r>
      <w:r>
        <w:t xml:space="preserve"> состояние </w:t>
      </w:r>
      <w:r>
        <w:t>систем</w:t>
      </w:r>
      <w:r>
        <w:t xml:space="preserve"> инженерного обеспечения: находятся</w:t>
      </w:r>
      <w:r>
        <w:br/>
      </w:r>
      <w:r>
        <w:t>в неисправном состоянии,</w:t>
      </w:r>
      <w:r>
        <w:t xml:space="preserve"> </w:t>
      </w:r>
      <w:r>
        <w:t xml:space="preserve">инвентарный номер: 8068, адрес объекта: </w:t>
      </w:r>
      <w:r>
        <w:rPr>
          <w:rFonts w:ascii="Times New Roman" w:hAnsi="Times New Roman"/>
          <w:color w:val="000000"/>
          <w:sz w:val="28"/>
        </w:rPr>
        <w:t>Российская Федерация, Ставропольский к</w:t>
      </w:r>
      <w:r>
        <w:rPr>
          <w:rFonts w:ascii="Times New Roman" w:hAnsi="Times New Roman"/>
          <w:color w:val="000000"/>
          <w:sz w:val="28"/>
        </w:rPr>
        <w:t xml:space="preserve">рай, </w:t>
      </w:r>
      <w:r>
        <w:rPr>
          <w:rFonts w:ascii="Times New Roman" w:hAnsi="Times New Roman"/>
          <w:color w:val="000000"/>
          <w:sz w:val="28"/>
        </w:rPr>
        <w:t xml:space="preserve">г. Ставрополь, </w:t>
      </w:r>
      <w:r>
        <w:rPr>
          <w:rFonts w:ascii="Times New Roman" w:hAnsi="Times New Roman"/>
          <w:color w:val="000000"/>
          <w:sz w:val="28"/>
        </w:rPr>
        <w:t xml:space="preserve">пер. Крупской, стр. 29в, кадастровый номер </w:t>
      </w:r>
      <w:r>
        <w:rPr>
          <w:rFonts w:ascii="Times New Roman" w:hAnsi="Times New Roman"/>
          <w:sz w:val="28"/>
        </w:rPr>
        <w:t xml:space="preserve">26:12:030732:205, находящееся </w:t>
      </w:r>
      <w:r>
        <w:rPr>
          <w:rFonts w:ascii="Times New Roman" w:hAnsi="Times New Roman"/>
          <w:sz w:val="28"/>
        </w:rPr>
        <w:t xml:space="preserve">в собственности муниципального образования города Ставрополя Ставропольского края, что подтверждается свидетельством </w:t>
      </w:r>
      <w:r>
        <w:rPr>
          <w:rFonts w:ascii="Times New Roman" w:hAnsi="Times New Roman"/>
          <w:sz w:val="28"/>
        </w:rPr>
        <w:t xml:space="preserve">о государственной регистрации права собственности </w:t>
      </w:r>
      <w:r>
        <w:rPr>
          <w:rFonts w:ascii="Times New Roman" w:hAnsi="Times New Roman"/>
          <w:sz w:val="28"/>
        </w:rPr>
        <w:t xml:space="preserve">от 09.03.2005 </w:t>
      </w:r>
      <w:r>
        <w:rPr>
          <w:rFonts w:ascii="Times New Roman" w:hAnsi="Times New Roman"/>
          <w:sz w:val="28"/>
        </w:rPr>
        <w:t>№ 26-26-12/009/2005-549.</w:t>
      </w:r>
    </w:p>
    <w:p w14:paraId="57000000">
      <w:pPr>
        <w:pStyle w:val="Style_3"/>
        <w:tabs>
          <w:tab w:leader="none" w:pos="709" w:val="clear"/>
          <w:tab w:leader="none" w:pos="9072" w:val="right"/>
        </w:tabs>
        <w:spacing w:after="0" w:before="0" w:line="240" w:lineRule="auto"/>
        <w:ind w:firstLine="709" w:left="0" w:right="0"/>
        <w:jc w:val="both"/>
      </w:pPr>
    </w:p>
    <w:p w14:paraId="58000000">
      <w:pPr>
        <w:pStyle w:val="Style_3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>3. Обязательства концессионера.</w:t>
      </w:r>
    </w:p>
    <w:p w14:paraId="59000000">
      <w:pPr>
        <w:pStyle w:val="Style_3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  <w:rPr>
          <w:rFonts w:ascii="Times New Roman" w:hAnsi="Times New Roman"/>
          <w:sz w:val="28"/>
          <w:shd w:fill="FFD821" w:val="clear"/>
        </w:rPr>
      </w:pPr>
      <w:r>
        <w:t>Концессионер обязуется в порядке, в сроки и на условиях, установленных концессионным соглашением, за свой счет реконструировать и использоват</w:t>
      </w:r>
      <w:r>
        <w:t xml:space="preserve">ь (эксплуатировать) объект концессионного соглашения в целях оказания </w:t>
      </w:r>
      <w:r>
        <w:rPr>
          <w:sz w:val="28"/>
        </w:rPr>
        <w:t xml:space="preserve">населению социально-бытовых услуг </w:t>
      </w:r>
      <w:r>
        <w:rPr>
          <w:sz w:val="28"/>
        </w:rPr>
        <w:t xml:space="preserve">и дополнительных услуг, не противоречащих действующему </w:t>
      </w:r>
      <w:r>
        <w:rPr>
          <w:sz w:val="28"/>
        </w:rPr>
        <w:t>законодательству</w:t>
      </w:r>
      <w:r>
        <w:rPr>
          <w:sz w:val="28"/>
        </w:rPr>
        <w:t xml:space="preserve"> Российской Федерации, </w:t>
      </w:r>
      <w:r>
        <w:rPr>
          <w:sz w:val="28"/>
        </w:rPr>
        <w:t>осуществлять страхование риска случайной гибели и случайного повреждения объекта концессионного соглашения.</w:t>
      </w:r>
      <w:r>
        <w:t xml:space="preserve"> </w:t>
      </w:r>
      <w:r>
        <w:t xml:space="preserve">К реконструкции объекта концессионного соглашения </w:t>
      </w:r>
      <w:r>
        <w:t xml:space="preserve">в соответствии </w:t>
      </w:r>
      <w:r>
        <w:t xml:space="preserve">с частью 3 статьи 3 </w:t>
      </w:r>
      <w:r>
        <w:t xml:space="preserve">Федерального закона </w:t>
      </w:r>
      <w:r>
        <w:t xml:space="preserve">от 21 июля 2005 г. </w:t>
      </w:r>
      <w:r>
        <w:t>№ 115-ФЗ</w:t>
      </w:r>
      <w:r>
        <w:t xml:space="preserve"> </w:t>
      </w:r>
      <w:r>
        <w:t>«О концессионных соглашениях» относятся мероп</w:t>
      </w:r>
      <w:r>
        <w:t>риятия по его переустройству</w:t>
      </w:r>
      <w:r>
        <w:t xml:space="preserve"> на основе модернизации и замены морально устаревшего </w:t>
      </w:r>
      <w:r>
        <w:t xml:space="preserve">и физически изношенного оборудования новым оборудованием, иные мероприятия по улучшению характеристик </w:t>
      </w:r>
      <w:r>
        <w:t>и эксплуатационных свойств объекта концессионного соглашения.</w:t>
      </w:r>
    </w:p>
    <w:p w14:paraId="5A000000">
      <w:pPr>
        <w:pStyle w:val="Style_3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 xml:space="preserve">Минимальный размер расходов на реконструкцию и </w:t>
      </w:r>
      <w:r>
        <w:t>использование (</w:t>
      </w:r>
      <w:r>
        <w:t>эксплуатацию</w:t>
      </w:r>
      <w:r>
        <w:t xml:space="preserve">) объекта концессионного соглашения составляет </w:t>
      </w:r>
      <w:r>
        <w:br/>
      </w:r>
      <w:r>
        <w:t xml:space="preserve">45 000 570 </w:t>
      </w:r>
      <w:r>
        <w:t>(сорок пять миллионов пятьсот семьдесят) рублей 00 копеек.</w:t>
      </w:r>
    </w:p>
    <w:p w14:paraId="5B000000">
      <w:pPr>
        <w:ind w:firstLine="709" w:left="0"/>
        <w:jc w:val="both"/>
      </w:pPr>
      <w:r>
        <w:t xml:space="preserve">Максимальный срок выполнения работ по реконструкции объекта </w:t>
      </w:r>
      <w:r>
        <w:t>концессионного соглашения составляет 5 (пять) лет</w:t>
      </w:r>
      <w:r>
        <w:t xml:space="preserve"> </w:t>
      </w:r>
      <w:r>
        <w:t xml:space="preserve">с даты заключения </w:t>
      </w:r>
      <w:r>
        <w:t>концессионного соглашения.</w:t>
      </w:r>
    </w:p>
    <w:p w14:paraId="5C000000">
      <w:pPr>
        <w:ind w:firstLine="709" w:left="0"/>
        <w:jc w:val="both"/>
      </w:pPr>
      <w:r>
        <w:t>Концессионер обязуется за свой счет осуществить действия</w:t>
      </w:r>
      <w:r>
        <w:br/>
      </w:r>
      <w:r>
        <w:t xml:space="preserve">по подготовке территории, </w:t>
      </w:r>
      <w:r>
        <w:t xml:space="preserve">необходимой для реконструкции </w:t>
      </w:r>
      <w:r>
        <w:t xml:space="preserve">и использования (эксплуатации) </w:t>
      </w:r>
      <w:r>
        <w:t xml:space="preserve">объекта концессионного соглашения и </w:t>
      </w:r>
      <w:r>
        <w:t>осуществления деятельности</w:t>
      </w:r>
      <w:r>
        <w:rPr>
          <w:b w:val="0"/>
        </w:rPr>
        <w:t>, предусмотренной концессионным соглашением.</w:t>
      </w:r>
    </w:p>
    <w:p w14:paraId="5D000000">
      <w:pPr>
        <w:pStyle w:val="Style_3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 xml:space="preserve">4. </w:t>
      </w:r>
      <w:r>
        <w:t xml:space="preserve">Срок действия концессионного соглашения составляет 30 </w:t>
      </w:r>
      <w:r>
        <w:t xml:space="preserve">(тридцать) лет </w:t>
      </w:r>
      <w:r>
        <w:t>с даты заключения концессионного соглашения.</w:t>
      </w:r>
    </w:p>
    <w:p w14:paraId="5E000000">
      <w:pPr>
        <w:pStyle w:val="Style_3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>5. Срок передачи концессионеру объекта концессионного соглашения – в течение 10 (десяти) календарных</w:t>
      </w:r>
      <w:r>
        <w:t xml:space="preserve"> дней </w:t>
      </w:r>
      <w:r>
        <w:t>со дня вступления</w:t>
      </w:r>
      <w:r>
        <w:t xml:space="preserve"> в силу концессионного соглашения.</w:t>
      </w:r>
    </w:p>
    <w:p w14:paraId="5F000000">
      <w:pPr>
        <w:pStyle w:val="Style_3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 xml:space="preserve">6. </w:t>
      </w:r>
      <w:r>
        <w:t>Порядок предоставления концессионеру земельного участка, предназначенного для осуществления деятельности, предусмотренной концессионным соглашением, и срок заключения с концессионером договора аренды этого земельного участка.</w:t>
      </w:r>
    </w:p>
    <w:p w14:paraId="60000000">
      <w:pPr>
        <w:pStyle w:val="Style_3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 xml:space="preserve">Земельный участок </w:t>
      </w:r>
      <w:r>
        <w:t>с</w:t>
      </w:r>
      <w:r>
        <w:t xml:space="preserve"> кадастровым номером </w:t>
      </w:r>
      <w:r>
        <w:t xml:space="preserve">26:12:030732:135 площадью </w:t>
      </w:r>
      <w:r>
        <w:t xml:space="preserve">1164 кв. м, расположенный по адресу: </w:t>
      </w:r>
      <w:r>
        <w:t xml:space="preserve">Российская Федерация, Ставропольский край, городской округ город Ставрополь, город Ставрополь, </w:t>
      </w:r>
      <w:r>
        <w:t>переулок Крупской, земельный участок 29в</w:t>
      </w:r>
      <w:r>
        <w:t>, с видом разрешенного использования «</w:t>
      </w:r>
      <w:r>
        <w:t>под баней № 4 с благоустройством территории» (далее – земельный участок),</w:t>
      </w:r>
      <w:r>
        <w:t xml:space="preserve"> </w:t>
      </w:r>
      <w:r>
        <w:t>необхо</w:t>
      </w:r>
      <w:r>
        <w:t xml:space="preserve">димый для осуществления деятельности, предусмотренной концессионным соглашением, предоставляется концессионеру в аренду без торгов в соответствии </w:t>
      </w:r>
      <w:r>
        <w:t xml:space="preserve">с Земельным кодексом Российской </w:t>
      </w:r>
      <w:r>
        <w:t>Федерации, нормативными правовыми актами Российской Федерации, Ставропольского края, города Ставрополя на срок</w:t>
      </w:r>
      <w:r>
        <w:br/>
      </w:r>
      <w:r>
        <w:t xml:space="preserve">действия концессионного соглашения. Использование концессионером предоставленного ему земельного участка осуществляется </w:t>
      </w:r>
      <w:r>
        <w:t xml:space="preserve">в соответствии </w:t>
      </w:r>
      <w:r>
        <w:br/>
      </w:r>
      <w:r>
        <w:t>с установленным видом разрешенного использования земельного участка.</w:t>
      </w:r>
      <w:r>
        <w:t xml:space="preserve"> </w:t>
      </w:r>
      <w:r>
        <w:t>Размер арендной платы (с</w:t>
      </w:r>
      <w:r>
        <w:t>тавки арендной платы) определяется</w:t>
      </w:r>
      <w:r>
        <w:br/>
      </w:r>
      <w:r>
        <w:t xml:space="preserve">в соответствии с Порядком определения размера арендной платы за земельные участки, находящиеся </w:t>
      </w:r>
      <w:r>
        <w:t>в собственности муниципального образования город</w:t>
      </w:r>
      <w:r>
        <w:t>а Ставрополя Ставропольского края и предоставленные в аренду без торгов, утвержденным муниципальным нормативным правовым актом</w:t>
      </w:r>
      <w:r>
        <w:t>,</w:t>
      </w:r>
      <w:r>
        <w:t xml:space="preserve"> и не входит в концессионную плату.</w:t>
      </w:r>
      <w:r>
        <w:t xml:space="preserve"> </w:t>
      </w:r>
      <w:r>
        <w:t>В соответствии с условиями договора аренды земельного участка концессионер не вправе передавать свои права по договору аренды земельного у</w:t>
      </w:r>
      <w:r>
        <w:t>частка другим лицам и сдавать земельный участок в субаренду.</w:t>
      </w:r>
    </w:p>
    <w:p w14:paraId="61000000">
      <w:pPr>
        <w:pStyle w:val="Style_3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>Договор аренды земельного участка должен быть заключен</w:t>
      </w:r>
      <w:r>
        <w:br/>
      </w:r>
      <w:r>
        <w:t xml:space="preserve">с концессионером не позднее чем через </w:t>
      </w:r>
      <w:r>
        <w:t>60 (шестьдесят) рабочих дней с даты подписания концессионного соглашения.</w:t>
      </w:r>
    </w:p>
    <w:p w14:paraId="62000000">
      <w:pPr>
        <w:pStyle w:val="Style_3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>7. Цели и срок использования (эксплуатации) объекта концессионного соглашения.</w:t>
      </w:r>
    </w:p>
    <w:p w14:paraId="63000000">
      <w:pPr>
        <w:pStyle w:val="Style_3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 xml:space="preserve">Целью использования (эксплуатации) объекта концессионного соглашения является </w:t>
      </w:r>
      <w:r>
        <w:rPr>
          <w:sz w:val="28"/>
        </w:rPr>
        <w:t xml:space="preserve">оказание населению социально-бытовых услуг </w:t>
      </w:r>
      <w:r>
        <w:br/>
      </w:r>
      <w:r>
        <w:rPr>
          <w:sz w:val="28"/>
        </w:rPr>
        <w:t xml:space="preserve">и дополнительных услуг, не противоречащих действующему </w:t>
      </w:r>
      <w:r>
        <w:rPr>
          <w:sz w:val="28"/>
        </w:rPr>
        <w:t>законодательству</w:t>
      </w:r>
      <w:r>
        <w:rPr>
          <w:sz w:val="28"/>
        </w:rPr>
        <w:t xml:space="preserve"> Российской Федерации</w:t>
      </w:r>
      <w:r>
        <w:t>.</w:t>
      </w:r>
    </w:p>
    <w:p w14:paraId="64000000">
      <w:pPr>
        <w:pStyle w:val="Style_3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>Срок использования (эксплуатации) объекта концессионного соглашения в целях, предусмотренных назначением объектов, – в течение срока действия концессионного соглашения.</w:t>
      </w:r>
    </w:p>
    <w:p w14:paraId="65000000">
      <w:pPr>
        <w:pStyle w:val="Style_3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 xml:space="preserve">Уступка прав требования, перевод долга по концессионному соглашению в пользу иностранных физических и юридических лиц </w:t>
      </w:r>
      <w:r>
        <w:br/>
      </w:r>
      <w:r>
        <w:t xml:space="preserve">и иностранных структур </w:t>
      </w:r>
      <w:r>
        <w:t xml:space="preserve">без образования юридического лица, передача прав по концессионному соглашению </w:t>
      </w:r>
      <w:r>
        <w:t xml:space="preserve">в доверительное управление не допускается. </w:t>
      </w:r>
    </w:p>
    <w:p w14:paraId="66000000">
      <w:pPr>
        <w:pStyle w:val="Style_3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 xml:space="preserve">Объект концессионного соглашения не может быть передан </w:t>
      </w:r>
      <w:r>
        <w:br/>
      </w:r>
      <w:r>
        <w:t xml:space="preserve">в собственность концессионера и (или) иных третьих лиц, в том числе </w:t>
      </w:r>
      <w:r>
        <w:br/>
      </w:r>
      <w:r>
        <w:t xml:space="preserve">в порядке реализации преимущественного права на выкуп имущества, переданного в соответствии с концессионным соглашением. </w:t>
      </w:r>
    </w:p>
    <w:p w14:paraId="67000000">
      <w:pPr>
        <w:pStyle w:val="Style_3"/>
        <w:tabs>
          <w:tab w:leader="none" w:pos="709" w:val="clear"/>
          <w:tab w:leader="none" w:pos="9072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t xml:space="preserve">8. Способы </w:t>
      </w:r>
      <w:r>
        <w:rPr>
          <w:rFonts w:ascii="Times New Roman" w:hAnsi="Times New Roman"/>
          <w:sz w:val="28"/>
        </w:rPr>
        <w:t xml:space="preserve">обеспечения исполнения концессионером обязательств </w:t>
      </w:r>
      <w:r>
        <w:br/>
      </w:r>
      <w:r>
        <w:rPr>
          <w:rFonts w:ascii="Times New Roman" w:hAnsi="Times New Roman"/>
          <w:sz w:val="28"/>
        </w:rPr>
        <w:t>по з</w:t>
      </w:r>
      <w:r>
        <w:rPr>
          <w:rFonts w:ascii="Times New Roman" w:hAnsi="Times New Roman"/>
          <w:sz w:val="28"/>
        </w:rPr>
        <w:t>аключению концессионного соглашения</w:t>
      </w:r>
      <w:r>
        <w:t>. Размер и срок предоставления такого об</w:t>
      </w:r>
      <w:r>
        <w:rPr>
          <w:rFonts w:ascii="Times New Roman" w:hAnsi="Times New Roman"/>
          <w:sz w:val="28"/>
        </w:rPr>
        <w:t>еспечения.</w:t>
      </w:r>
    </w:p>
    <w:p w14:paraId="68000000">
      <w:pPr>
        <w:pStyle w:val="Style_3"/>
        <w:tabs>
          <w:tab w:leader="none" w:pos="709" w:val="clear"/>
          <w:tab w:leader="none" w:pos="9072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обеспечения обязательств по заключению концессионного соглашения устанавливается задаток в размере</w:t>
      </w:r>
      <w:r>
        <w:rPr>
          <w:rFonts w:ascii="Times New Roman" w:hAnsi="Times New Roman"/>
          <w:sz w:val="28"/>
        </w:rPr>
        <w:t xml:space="preserve"> 450 005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чет</w:t>
      </w:r>
      <w:r>
        <w:rPr>
          <w:rFonts w:ascii="Times New Roman" w:hAnsi="Times New Roman"/>
          <w:sz w:val="28"/>
        </w:rPr>
        <w:t>ыреста пятьдесят тысяч пять</w:t>
      </w:r>
      <w:r>
        <w:rPr>
          <w:rFonts w:ascii="Times New Roman" w:hAnsi="Times New Roman"/>
          <w:sz w:val="28"/>
        </w:rPr>
        <w:t>) рублей 00 копеек.</w:t>
      </w:r>
    </w:p>
    <w:p w14:paraId="69000000">
      <w:p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Задаток должен быть уплачен заявителем (участником открытого конкурса)</w:t>
      </w:r>
      <w:r>
        <w:rPr>
          <w:rFonts w:ascii="Times New Roman" w:hAnsi="Times New Roman"/>
          <w:sz w:val="28"/>
        </w:rPr>
        <w:t xml:space="preserve"> не позднее окончания срока подачи заявок</w:t>
      </w:r>
      <w:r>
        <w:rPr>
          <w:rFonts w:ascii="Times New Roman" w:hAnsi="Times New Roman"/>
          <w:sz w:val="28"/>
        </w:rPr>
        <w:t xml:space="preserve"> по следующим реквизитам:</w:t>
      </w:r>
      <w:r>
        <w:rPr>
          <w:rFonts w:ascii="Times New Roman" w:hAnsi="Times New Roman"/>
          <w:sz w:val="28"/>
        </w:rPr>
        <w:t> </w:t>
      </w:r>
    </w:p>
    <w:p w14:paraId="6A000000">
      <w:pPr>
        <w:spacing w:after="0" w:before="0"/>
        <w:ind w:firstLine="709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ИНН: 2636014845, КПП: 263601001, ОКТМО: 07701000.</w:t>
      </w:r>
    </w:p>
    <w:p w14:paraId="6B000000">
      <w:p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Управление Федерального казначейства по Ставропольскому краю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(комитет по управлению муниципальным имуществом города Ставрополя, л/с 05213016550).</w:t>
      </w:r>
    </w:p>
    <w:p w14:paraId="6C000000">
      <w:pPr>
        <w:spacing w:after="0" w:before="0"/>
        <w:ind w:firstLine="709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Расчетный счет: 03232643077010002100.</w:t>
      </w:r>
    </w:p>
    <w:p w14:paraId="6D000000">
      <w:pPr>
        <w:spacing w:after="0" w:before="0"/>
        <w:ind w:firstLine="709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БИК: 010702101.</w:t>
      </w:r>
    </w:p>
    <w:p w14:paraId="6E000000">
      <w:pPr>
        <w:spacing w:after="0" w:before="0"/>
        <w:ind w:firstLine="709" w:left="0" w:righ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Банк получателя: ОТДЕЛЕНИЕ СТАВРОПОЛЬ БАНКА РОССИИ//Управление Федерального казначейства по Ставропольскому краю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г. Ставрополь.</w:t>
      </w:r>
    </w:p>
    <w:p w14:paraId="6F000000">
      <w:pPr>
        <w:spacing w:after="0" w:before="0"/>
        <w:ind w:firstLine="709" w:left="0" w:right="0"/>
        <w:jc w:val="left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Единый казначейский счет: 40102810345370000013.</w:t>
      </w:r>
    </w:p>
    <w:p w14:paraId="70000000">
      <w:p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В назначении платежа необходимо указать: </w:t>
      </w:r>
      <w:r>
        <w:rPr>
          <w:rFonts w:ascii="Times New Roman" w:hAnsi="Times New Roman"/>
          <w:sz w:val="28"/>
        </w:rPr>
        <w:t xml:space="preserve">задаток для участия </w:t>
      </w:r>
      <w:r>
        <w:br/>
      </w:r>
      <w:r>
        <w:rPr>
          <w:rFonts w:ascii="Times New Roman" w:hAnsi="Times New Roman"/>
          <w:sz w:val="28"/>
        </w:rPr>
        <w:t>в открытом конкурсе н</w:t>
      </w:r>
      <w:r>
        <w:rPr>
          <w:b w:val="0"/>
          <w:sz w:val="28"/>
        </w:rPr>
        <w:t>а право заклю</w:t>
      </w:r>
      <w:r>
        <w:rPr>
          <w:b w:val="0"/>
          <w:sz w:val="28"/>
        </w:rPr>
        <w:t xml:space="preserve">чения концессионного </w:t>
      </w:r>
      <w:r>
        <w:rPr>
          <w:rFonts w:ascii="Times New Roman" w:hAnsi="Times New Roman"/>
          <w:sz w:val="28"/>
        </w:rPr>
        <w:t>соглашения.</w:t>
      </w:r>
    </w:p>
    <w:p w14:paraId="71000000">
      <w:pPr>
        <w:pStyle w:val="Style_3"/>
        <w:tabs>
          <w:tab w:leader="none" w:pos="709" w:val="clear"/>
          <w:tab w:leader="none" w:pos="9072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Задаток возвращается к</w:t>
      </w:r>
      <w:r>
        <w:rPr>
          <w:rFonts w:ascii="Times New Roman" w:hAnsi="Times New Roman"/>
        </w:rPr>
        <w:t>онцедент</w:t>
      </w:r>
      <w:r>
        <w:rPr>
          <w:rFonts w:ascii="Times New Roman" w:hAnsi="Times New Roman"/>
        </w:rPr>
        <w:t>ом</w:t>
      </w:r>
      <w:r>
        <w:rPr>
          <w:rFonts w:ascii="Times New Roman" w:hAnsi="Times New Roman"/>
        </w:rPr>
        <w:t xml:space="preserve"> з</w:t>
      </w:r>
      <w:r>
        <w:rPr>
          <w:rFonts w:ascii="Times New Roman" w:hAnsi="Times New Roman"/>
        </w:rPr>
        <w:t>аявителю (участнику конкурса) путем перечисления денежных средств</w:t>
      </w:r>
      <w:r>
        <w:rPr>
          <w:rFonts w:ascii="Times New Roman" w:hAnsi="Times New Roman"/>
        </w:rPr>
        <w:t xml:space="preserve"> в размере внесенного заявителем задатка на расчетный счет заявителя (участника открытого конкурса)</w:t>
      </w:r>
      <w:r>
        <w:rPr>
          <w:rFonts w:ascii="Times New Roman" w:hAnsi="Times New Roman"/>
        </w:rPr>
        <w:t xml:space="preserve"> </w:t>
      </w:r>
      <w:r>
        <w:br/>
      </w:r>
      <w:r>
        <w:rPr>
          <w:rFonts w:ascii="Times New Roman" w:hAnsi="Times New Roman"/>
        </w:rPr>
        <w:t xml:space="preserve">в порядке </w:t>
      </w:r>
      <w:r>
        <w:rPr>
          <w:rFonts w:ascii="Times New Roman" w:hAnsi="Times New Roman"/>
        </w:rPr>
        <w:t>и на условиях, указанных в</w:t>
      </w:r>
      <w:r>
        <w:rPr>
          <w:rFonts w:ascii="Times New Roman" w:hAnsi="Times New Roman"/>
        </w:rPr>
        <w:t xml:space="preserve"> Федеральном законе</w:t>
      </w:r>
      <w:r>
        <w:rPr>
          <w:rFonts w:ascii="Times New Roman" w:hAnsi="Times New Roman"/>
        </w:rPr>
        <w:t xml:space="preserve"> </w:t>
      </w:r>
      <w:r>
        <w:t>от 21 июля 2005 г.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115-ФЗ</w:t>
      </w:r>
      <w:r>
        <w:rPr>
          <w:rFonts w:ascii="Times New Roman" w:hAnsi="Times New Roman"/>
        </w:rPr>
        <w:t xml:space="preserve"> «О концессионных согла</w:t>
      </w:r>
      <w:r>
        <w:rPr>
          <w:rFonts w:ascii="Times New Roman" w:hAnsi="Times New Roman"/>
        </w:rPr>
        <w:t>шениях».</w:t>
      </w:r>
    </w:p>
    <w:p w14:paraId="72000000">
      <w:pPr>
        <w:pStyle w:val="Style_3"/>
        <w:tabs>
          <w:tab w:leader="none" w:pos="709" w:val="clear"/>
          <w:tab w:leader="none" w:pos="9072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t>9. Способы обеспечения исполнения концес</w:t>
      </w:r>
      <w:r>
        <w:t xml:space="preserve">сионером обязательств </w:t>
      </w:r>
      <w:r>
        <w:br/>
      </w:r>
      <w:r>
        <w:t>по концессионному соглашению. Размер и срок предоставления такого об</w:t>
      </w:r>
      <w:r>
        <w:rPr>
          <w:rFonts w:ascii="Times New Roman" w:hAnsi="Times New Roman"/>
          <w:sz w:val="28"/>
        </w:rPr>
        <w:t>еспечения.</w:t>
      </w:r>
    </w:p>
    <w:p w14:paraId="73000000">
      <w:pPr>
        <w:pStyle w:val="Style_3"/>
        <w:tabs>
          <w:tab w:leader="none" w:pos="709" w:val="clear"/>
          <w:tab w:leader="none" w:pos="9072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исполнения концессионером обязательств </w:t>
      </w:r>
      <w:r>
        <w:br/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 xml:space="preserve">концессионному соглашению осуществляется путем предоставления безотзывной банковской гарантии. </w:t>
      </w:r>
    </w:p>
    <w:p w14:paraId="74000000">
      <w:pPr>
        <w:pStyle w:val="Style_3"/>
        <w:tabs>
          <w:tab w:leader="none" w:pos="709" w:val="clear"/>
          <w:tab w:leader="none" w:pos="9072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</w:t>
      </w:r>
      <w:r>
        <w:rPr>
          <w:rFonts w:ascii="Times New Roman" w:hAnsi="Times New Roman"/>
          <w:sz w:val="28"/>
        </w:rPr>
        <w:t xml:space="preserve">змер обеспечения </w:t>
      </w:r>
      <w:r>
        <w:rPr>
          <w:rFonts w:ascii="Times New Roman" w:hAnsi="Times New Roman"/>
          <w:sz w:val="28"/>
        </w:rPr>
        <w:t xml:space="preserve">исполнения </w:t>
      </w:r>
      <w:r>
        <w:rPr>
          <w:rFonts w:ascii="Times New Roman" w:hAnsi="Times New Roman"/>
          <w:sz w:val="28"/>
        </w:rPr>
        <w:t xml:space="preserve">концессионером обязательств </w:t>
      </w:r>
      <w:r>
        <w:rPr>
          <w:rFonts w:ascii="Times New Roman" w:hAnsi="Times New Roman"/>
          <w:sz w:val="28"/>
        </w:rPr>
        <w:t xml:space="preserve">по концессионному соглашению – </w:t>
      </w:r>
      <w:r>
        <w:rPr>
          <w:rFonts w:ascii="Times New Roman" w:hAnsi="Times New Roman"/>
          <w:sz w:val="28"/>
        </w:rPr>
        <w:t xml:space="preserve">5 (пять) процентов от минимального размера расходов </w:t>
      </w:r>
      <w:r>
        <w:rPr>
          <w:rFonts w:ascii="Times New Roman" w:hAnsi="Times New Roman"/>
          <w:sz w:val="28"/>
        </w:rPr>
        <w:t>на реконструкцию и эксплуатацию объектов концессионного соглашения.</w:t>
      </w:r>
    </w:p>
    <w:p w14:paraId="75000000">
      <w:pPr>
        <w:pStyle w:val="Style_3"/>
        <w:tabs>
          <w:tab w:leader="none" w:pos="709" w:val="clear"/>
          <w:tab w:leader="none" w:pos="9072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исполнения </w:t>
      </w:r>
      <w:r>
        <w:rPr>
          <w:rFonts w:ascii="Times New Roman" w:hAnsi="Times New Roman"/>
          <w:sz w:val="28"/>
        </w:rPr>
        <w:t>концессионером обязательств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концессионному соглашению предоставляется ежегодно в течение </w:t>
      </w:r>
      <w:r>
        <w:rPr>
          <w:rFonts w:ascii="Times New Roman" w:hAnsi="Times New Roman"/>
          <w:sz w:val="28"/>
        </w:rPr>
        <w:t xml:space="preserve">максимального срока </w:t>
      </w:r>
      <w:r>
        <w:t xml:space="preserve">выполнения работ по реконструкции объекта концессионного соглашения, который составляет 5 (пять) лет с </w:t>
      </w:r>
      <w:r>
        <w:t>даты подписания концессионного соглашения.</w:t>
      </w:r>
    </w:p>
    <w:p w14:paraId="76000000">
      <w:pPr>
        <w:pStyle w:val="Style_3"/>
        <w:tabs>
          <w:tab w:leader="none" w:pos="709" w:val="clear"/>
          <w:tab w:leader="none" w:pos="9072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Первая безотзывная б</w:t>
      </w:r>
      <w:r>
        <w:rPr>
          <w:rFonts w:ascii="Times New Roman" w:hAnsi="Times New Roman"/>
          <w:sz w:val="28"/>
        </w:rPr>
        <w:t xml:space="preserve">анковская гарантия должна быть предоставлена концеденту </w:t>
      </w:r>
      <w:r>
        <w:rPr>
          <w:rFonts w:ascii="Times New Roman" w:hAnsi="Times New Roman"/>
          <w:sz w:val="28"/>
        </w:rPr>
        <w:t xml:space="preserve">не позднее 60 (шестидесяти) рабочих дней с даты вступления </w:t>
      </w:r>
      <w:r>
        <w:br/>
      </w:r>
      <w:r>
        <w:rPr>
          <w:rFonts w:ascii="Times New Roman" w:hAnsi="Times New Roman"/>
          <w:sz w:val="28"/>
        </w:rPr>
        <w:t>в силу концессионного соглашения</w:t>
      </w:r>
      <w:r>
        <w:rPr>
          <w:rFonts w:ascii="Times New Roman" w:hAnsi="Times New Roman"/>
          <w:sz w:val="28"/>
        </w:rPr>
        <w:t xml:space="preserve">. Очередная безотзывная банковская гарантия должна предоставляться концеденту не позднее срока истечения предыдущей </w:t>
      </w:r>
      <w:r>
        <w:rPr>
          <w:rFonts w:ascii="Times New Roman" w:hAnsi="Times New Roman"/>
          <w:sz w:val="28"/>
        </w:rPr>
        <w:t>безотзывной банковской гарантии</w:t>
      </w:r>
      <w:r>
        <w:t>.</w:t>
      </w:r>
    </w:p>
    <w:p w14:paraId="77000000">
      <w:pPr>
        <w:pStyle w:val="Style_3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 xml:space="preserve">Банк, предоставляющий </w:t>
      </w:r>
      <w:r>
        <w:rPr>
          <w:rFonts w:ascii="Times New Roman" w:hAnsi="Times New Roman"/>
          <w:sz w:val="28"/>
        </w:rPr>
        <w:t xml:space="preserve">безотзывную </w:t>
      </w:r>
      <w:r>
        <w:t xml:space="preserve">банковскую гарантию, </w:t>
      </w:r>
      <w:r>
        <w:rPr>
          <w:rFonts w:ascii="Times New Roman" w:hAnsi="Times New Roman"/>
          <w:sz w:val="28"/>
        </w:rPr>
        <w:t xml:space="preserve">безотзывная </w:t>
      </w:r>
      <w:r>
        <w:t>банковская гарантия</w:t>
      </w:r>
      <w:r>
        <w:t xml:space="preserve"> должны соответствовать треб</w:t>
      </w:r>
      <w:r>
        <w:rPr>
          <w:rFonts w:ascii="Times New Roman" w:hAnsi="Times New Roman"/>
          <w:sz w:val="28"/>
        </w:rPr>
        <w:t>ованиям, утвержденным п</w:t>
      </w:r>
      <w:r>
        <w:t xml:space="preserve">остановлением Правительства Российской Федерации </w:t>
      </w:r>
      <w:r>
        <w:br/>
      </w:r>
      <w:r>
        <w:t>от 29 декабря 2023 г. № 2367 «</w:t>
      </w:r>
      <w:r>
        <w:t xml:space="preserve">О требованиях </w:t>
      </w:r>
      <w:r>
        <w:t>к</w:t>
      </w:r>
      <w:r>
        <w:t xml:space="preserve"> банкам и банковским гарантиям, используемым для целей федеральных законов </w:t>
      </w:r>
      <w:r>
        <w:br/>
      </w:r>
      <w:r>
        <w:t>«О концессионных соглашениях»,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</w:rPr>
        <w:t>».</w:t>
      </w:r>
    </w:p>
    <w:p w14:paraId="78000000">
      <w:pPr>
        <w:pStyle w:val="Style_3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 xml:space="preserve">10. Размер концессионной платы, форма, порядок и сроки ее внесения. </w:t>
      </w:r>
    </w:p>
    <w:p w14:paraId="79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Концессионер обязан </w:t>
      </w:r>
      <w:r>
        <w:rPr>
          <w:sz w:val="28"/>
        </w:rPr>
        <w:t>ежеквартально</w:t>
      </w:r>
      <w:r>
        <w:rPr>
          <w:sz w:val="28"/>
        </w:rPr>
        <w:t xml:space="preserve"> уплачивать концеденту концессионную плату </w:t>
      </w:r>
      <w:r>
        <w:rPr>
          <w:sz w:val="28"/>
        </w:rPr>
        <w:t xml:space="preserve">в размере 125 000 (сто двадцать пять тысяч) </w:t>
      </w:r>
      <w:r>
        <w:br/>
      </w:r>
      <w:r>
        <w:rPr>
          <w:sz w:val="28"/>
        </w:rPr>
        <w:t xml:space="preserve">рублей </w:t>
      </w:r>
      <w:r>
        <w:rPr>
          <w:sz w:val="28"/>
        </w:rPr>
        <w:t>00 копеек.</w:t>
      </w:r>
    </w:p>
    <w:p w14:paraId="7A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>Концессионная плата вносится концессионером в форме твердой сумм</w:t>
      </w:r>
      <w:r>
        <w:rPr>
          <w:sz w:val="28"/>
        </w:rPr>
        <w:t>ы платежей, перечисляемой в бюджет города Ставроп</w:t>
      </w:r>
      <w:r>
        <w:rPr>
          <w:sz w:val="28"/>
        </w:rPr>
        <w:t>оля.</w:t>
      </w:r>
    </w:p>
    <w:p w14:paraId="7B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>Концессионная плата уп</w:t>
      </w:r>
      <w:r>
        <w:rPr>
          <w:sz w:val="28"/>
        </w:rPr>
        <w:t>лачивается концессионером</w:t>
      </w:r>
      <w:r>
        <w:rPr>
          <w:b w:val="1"/>
          <w:sz w:val="28"/>
        </w:rPr>
        <w:t xml:space="preserve"> </w:t>
      </w:r>
      <w:r>
        <w:rPr>
          <w:sz w:val="28"/>
        </w:rPr>
        <w:t>с даты ввода</w:t>
      </w:r>
      <w:r>
        <w:br/>
      </w:r>
      <w:r>
        <w:rPr>
          <w:sz w:val="28"/>
        </w:rPr>
        <w:t xml:space="preserve">в эксплуатацию объекта концессионного соглашения </w:t>
      </w:r>
      <w:r>
        <w:rPr>
          <w:sz w:val="28"/>
        </w:rPr>
        <w:t>до дня прекращения концессионного соглашения</w:t>
      </w:r>
      <w:r>
        <w:rPr>
          <w:sz w:val="28"/>
        </w:rPr>
        <w:t xml:space="preserve"> </w:t>
      </w:r>
      <w:r>
        <w:rPr>
          <w:sz w:val="28"/>
        </w:rPr>
        <w:t>в срок до 15 числа последнего месяца квартала.</w:t>
      </w:r>
    </w:p>
    <w:p w14:paraId="7C000000">
      <w:pPr>
        <w:pStyle w:val="Style_3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 концессионной платы подлежит </w:t>
      </w:r>
      <w:r>
        <w:rPr>
          <w:rFonts w:ascii="Times New Roman" w:hAnsi="Times New Roman"/>
          <w:sz w:val="28"/>
        </w:rPr>
        <w:t xml:space="preserve">ежегодной индексации </w:t>
      </w:r>
      <w:r>
        <w:rPr>
          <w:rFonts w:ascii="Times New Roman" w:hAnsi="Times New Roman"/>
          <w:sz w:val="28"/>
        </w:rPr>
        <w:t>путем умножения годового размера концессионной платы на значение индекса потребительских цен (тарифов) на услуги по Ставропольскому краю</w:t>
      </w:r>
      <w:r>
        <w:br/>
      </w:r>
      <w:r>
        <w:rPr>
          <w:rFonts w:ascii="Times New Roman" w:hAnsi="Times New Roman"/>
          <w:sz w:val="28"/>
        </w:rPr>
        <w:t>по состоянию на 31 декабря предшествующего года, опубликованного на официальном сайте У</w:t>
      </w:r>
      <w:r>
        <w:t xml:space="preserve">правления Федеральной службы </w:t>
      </w:r>
      <w:r>
        <w:t>государственной статис</w:t>
      </w:r>
      <w:r>
        <w:t xml:space="preserve">тики по </w:t>
      </w:r>
      <w:r>
        <w:t>Северо-Кавказскому федеральному округу в информационно-телекоммуникационной се</w:t>
      </w:r>
      <w:r>
        <w:rPr>
          <w:rFonts w:ascii="Times New Roman" w:hAnsi="Times New Roman"/>
          <w:sz w:val="28"/>
        </w:rPr>
        <w:t>ти «Интернет». Перерасчет размера концессионной платы за предыдущий год осуществляется не позднее</w:t>
      </w:r>
      <w:r>
        <w:br/>
      </w:r>
      <w:r>
        <w:rPr>
          <w:rFonts w:ascii="Times New Roman" w:hAnsi="Times New Roman"/>
          <w:sz w:val="28"/>
        </w:rPr>
        <w:t>01 июня текущего года. К</w:t>
      </w:r>
      <w:r>
        <w:rPr>
          <w:rFonts w:ascii="Times New Roman" w:hAnsi="Times New Roman"/>
          <w:sz w:val="28"/>
        </w:rPr>
        <w:t>онцессионер доплачивает концессионную плату</w:t>
      </w:r>
      <w:r>
        <w:br/>
      </w:r>
      <w:r>
        <w:rPr>
          <w:rFonts w:ascii="Times New Roman" w:hAnsi="Times New Roman"/>
          <w:sz w:val="28"/>
        </w:rPr>
        <w:t xml:space="preserve">в размере, определенном </w:t>
      </w: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>с перерасчетом, в срок не позднее</w:t>
      </w:r>
      <w:r>
        <w:br/>
      </w:r>
      <w:r>
        <w:rPr>
          <w:rFonts w:ascii="Times New Roman" w:hAnsi="Times New Roman"/>
          <w:sz w:val="28"/>
        </w:rPr>
        <w:t>15 июля текущего года.</w:t>
      </w:r>
    </w:p>
    <w:p w14:paraId="7D000000">
      <w:pPr>
        <w:pStyle w:val="Style_3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t>11. Финансовое участие концедента.</w:t>
      </w:r>
    </w:p>
    <w:p w14:paraId="7E000000">
      <w:pPr>
        <w:pStyle w:val="Style_3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и (или) порядок определения размера и условия финансового участия концедента в целях реконструкции и использования (эксплуатации) объекта концессионного соглашения не предусматриваются концессионным соглашением.</w:t>
      </w:r>
    </w:p>
    <w:p w14:paraId="7F000000">
      <w:pPr>
        <w:pStyle w:val="Style_3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>12.</w:t>
      </w:r>
      <w:r>
        <w:t xml:space="preserve"> Порядок возмещения расходов сторон в случае досрочного расторжения концессионного соглашения.</w:t>
      </w:r>
    </w:p>
    <w:p w14:paraId="80000000">
      <w:pPr>
        <w:pStyle w:val="Style_3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>Конце</w:t>
      </w:r>
      <w:r>
        <w:t xml:space="preserve">ссионное соглашение может быть расторгнуто сторонами </w:t>
      </w:r>
      <w:r>
        <w:br/>
      </w:r>
      <w:r>
        <w:t>в соответствии и по основаниям, предусмотренным действующим законодательством Россий</w:t>
      </w:r>
      <w:r>
        <w:t>ской Федерации.</w:t>
      </w:r>
    </w:p>
    <w:p w14:paraId="81000000">
      <w:pPr>
        <w:pStyle w:val="Style_3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 xml:space="preserve">Возмещение убытков сторон в случае досрочного </w:t>
      </w:r>
      <w:r>
        <w:t>расторжения концессионного соглашения осуществляется в соответствии с действующим законодательством Российской Федерации и условиями концессионного соглашения.</w:t>
      </w:r>
    </w:p>
    <w:p w14:paraId="82000000">
      <w:pPr>
        <w:pStyle w:val="Style_3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>В случае досрочного расторжения концессионного соглашения:</w:t>
      </w:r>
    </w:p>
    <w:p w14:paraId="83000000">
      <w:pPr>
        <w:pStyle w:val="Style_3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 xml:space="preserve">стороны концессионного соглашения вправе потребовать возмещения расходов в соответствии с частью 5 статьи 13, статьями 14-15 </w:t>
      </w:r>
      <w:r>
        <w:br/>
      </w:r>
      <w:r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 xml:space="preserve">ого закона </w:t>
      </w:r>
      <w:r>
        <w:t>от 21 июля 2005 г.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115-ФЗ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«О концессионных соглашениях»;</w:t>
      </w:r>
    </w:p>
    <w:p w14:paraId="84000000">
      <w:pPr>
        <w:pStyle w:val="Style_3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 xml:space="preserve">концессионер обязан возвратить концеденту объект концессионного соглашения в состоянии, пригодном </w:t>
      </w:r>
      <w:r>
        <w:t xml:space="preserve">к осуществлению деятельности, </w:t>
      </w:r>
      <w:r>
        <w:t>предусмотренной концессионным соглашением,</w:t>
      </w:r>
      <w:r>
        <w:t xml:space="preserve"> с учетом </w:t>
      </w:r>
      <w:r>
        <w:br/>
      </w:r>
      <w:r>
        <w:t>амортизационного и</w:t>
      </w:r>
      <w:r>
        <w:t>зноса</w:t>
      </w:r>
      <w:r>
        <w:t>;</w:t>
      </w:r>
    </w:p>
    <w:p w14:paraId="85000000">
      <w:pPr>
        <w:pStyle w:val="Style_3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  <w:rPr>
          <w:shd w:fill="4BF357" w:val="clear"/>
        </w:rPr>
      </w:pPr>
      <w:r>
        <w:t>с даты передачи концессионером концеденту объекта концессионного соглашения осущест</w:t>
      </w:r>
      <w:r>
        <w:t>вляется расторжение договора аренды в отношении земельного участка в соответствии</w:t>
      </w:r>
      <w:r>
        <w:t xml:space="preserve"> </w:t>
      </w:r>
      <w:r>
        <w:t>с Земельным кодексом Российской Федерации, нормативными правовыми актами Российской Федерации, Ставропольского края, города Ставрополя.</w:t>
      </w:r>
    </w:p>
    <w:p w14:paraId="86000000">
      <w:pPr>
        <w:pStyle w:val="Style_3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  <w:rPr>
          <w:shd w:fill="FFD821" w:val="clear"/>
        </w:rPr>
      </w:pPr>
      <w:r>
        <w:t>При прекращении концессионного соглашения объект концессионного соглашения передается концеденту.</w:t>
      </w:r>
    </w:p>
    <w:p w14:paraId="87000000">
      <w:pPr>
        <w:widowControl w:val="0"/>
        <w:ind w:firstLine="709" w:left="0"/>
        <w:jc w:val="center"/>
        <w:rPr>
          <w:highlight w:val="white"/>
        </w:rPr>
      </w:pPr>
    </w:p>
    <w:p w14:paraId="88000000">
      <w:pPr>
        <w:widowControl w:val="0"/>
        <w:ind/>
        <w:jc w:val="both"/>
        <w:rPr>
          <w:highlight w:val="white"/>
        </w:rPr>
      </w:pPr>
    </w:p>
    <w:p w14:paraId="89000000">
      <w:pPr>
        <w:widowControl w:val="0"/>
        <w:ind/>
        <w:jc w:val="center"/>
        <w:rPr>
          <w:highlight w:val="white"/>
        </w:rPr>
      </w:pPr>
      <w:r>
        <w:t>____________________</w:t>
      </w:r>
    </w:p>
    <w:p w14:paraId="8A000000">
      <w:pPr>
        <w:pStyle w:val="Style_3"/>
        <w:tabs>
          <w:tab w:leader="none" w:pos="709" w:val="clear"/>
          <w:tab w:leader="none" w:pos="9072" w:val="right"/>
        </w:tabs>
        <w:spacing w:line="240" w:lineRule="auto"/>
        <w:ind w:firstLine="0" w:left="0" w:right="0"/>
        <w:jc w:val="center"/>
      </w:pPr>
    </w:p>
    <w:p w14:paraId="8B000000">
      <w:pPr>
        <w:sectPr>
          <w:headerReference r:id="rId2" w:type="even"/>
          <w:type w:val="nextPage"/>
          <w:pgSz w:h="16848" w:orient="portrait" w:w="11908"/>
          <w:pgMar w:bottom="1134" w:footer="0" w:gutter="0" w:header="709" w:left="1984" w:right="567" w:top="1417"/>
          <w:pgNumType w:fmt="decimal"/>
          <w:titlePg/>
        </w:sectPr>
      </w:pPr>
    </w:p>
    <w:p w14:paraId="8C000000">
      <w:pPr>
        <w:spacing w:after="0" w:before="168" w:line="240" w:lineRule="exact"/>
        <w:ind w:firstLine="0" w:left="10063" w:right="0"/>
        <w:jc w:val="left"/>
        <w:rPr>
          <w:b w:val="0"/>
        </w:rPr>
      </w:pPr>
      <w:r>
        <w:t>УСТАНОВЛЕНЫ</w:t>
      </w:r>
      <w:r>
        <w:br/>
      </w:r>
    </w:p>
    <w:p w14:paraId="8D000000">
      <w:pPr>
        <w:spacing w:after="0" w:before="0" w:line="240" w:lineRule="exact"/>
        <w:ind w:firstLine="0" w:left="10063" w:right="0"/>
        <w:jc w:val="left"/>
        <w:rPr>
          <w:b w:val="0"/>
        </w:rPr>
      </w:pPr>
      <w:r>
        <w:rPr>
          <w:b w:val="0"/>
        </w:rPr>
        <w:t>постановлением</w:t>
      </w:r>
    </w:p>
    <w:p w14:paraId="8E000000">
      <w:pPr>
        <w:spacing w:after="0" w:before="0" w:line="240" w:lineRule="exact"/>
        <w:ind w:firstLine="0" w:left="10063" w:right="0"/>
        <w:jc w:val="left"/>
        <w:rPr>
          <w:b w:val="0"/>
        </w:rPr>
      </w:pPr>
      <w:r>
        <w:rPr>
          <w:b w:val="0"/>
        </w:rPr>
        <w:t>администрации города Ставрополя</w:t>
      </w:r>
    </w:p>
    <w:p w14:paraId="8F000000">
      <w:pPr>
        <w:pStyle w:val="Style_3"/>
        <w:tabs>
          <w:tab w:leader="none" w:pos="709" w:val="clear"/>
          <w:tab w:leader="none" w:pos="9072" w:val="right"/>
        </w:tabs>
        <w:spacing w:line="240" w:lineRule="auto"/>
        <w:ind w:firstLine="0" w:left="10063" w:right="0"/>
        <w:jc w:val="left"/>
      </w:pPr>
      <w:r>
        <w:rPr>
          <w:b w:val="0"/>
        </w:rPr>
        <w:t>от 03.06.2024 № 1072</w:t>
      </w:r>
    </w:p>
    <w:p w14:paraId="90000000">
      <w:pPr>
        <w:pStyle w:val="Style_3"/>
        <w:tabs>
          <w:tab w:leader="none" w:pos="709" w:val="clear"/>
          <w:tab w:leader="none" w:pos="9072" w:val="right"/>
        </w:tabs>
        <w:spacing w:line="240" w:lineRule="auto"/>
        <w:ind w:hanging="1984" w:left="2693" w:right="0"/>
        <w:jc w:val="center"/>
        <w:rPr>
          <w:sz w:val="18"/>
        </w:rPr>
      </w:pPr>
    </w:p>
    <w:p w14:paraId="91000000">
      <w:pPr>
        <w:pStyle w:val="Style_3"/>
        <w:tabs>
          <w:tab w:leader="none" w:pos="709" w:val="clear"/>
          <w:tab w:leader="none" w:pos="9072" w:val="right"/>
        </w:tabs>
        <w:spacing w:line="240" w:lineRule="exact"/>
        <w:ind w:firstLine="0" w:left="0" w:right="0"/>
        <w:jc w:val="center"/>
      </w:pPr>
      <w:r>
        <w:rPr>
          <w:caps w:val="1"/>
        </w:rPr>
        <w:t>Критерии</w:t>
      </w:r>
    </w:p>
    <w:p w14:paraId="92000000">
      <w:pPr>
        <w:pStyle w:val="Style_3"/>
        <w:tabs>
          <w:tab w:leader="none" w:pos="709" w:val="clear"/>
          <w:tab w:leader="none" w:pos="9072" w:val="right"/>
        </w:tabs>
        <w:spacing w:line="240" w:lineRule="exact"/>
        <w:ind w:firstLine="0" w:left="0" w:right="0"/>
        <w:jc w:val="center"/>
      </w:pPr>
      <w:r>
        <w:t>открытого конкурса на право заключения концессионного соглашени</w:t>
      </w:r>
      <w:r>
        <w:rPr>
          <w:sz w:val="28"/>
        </w:rPr>
        <w:t xml:space="preserve">я </w:t>
      </w:r>
      <w:r>
        <w:rPr>
          <w:color w:themeColor="text1" w:val="000000"/>
          <w:sz w:val="28"/>
          <w:highlight w:val="white"/>
        </w:rPr>
        <w:t xml:space="preserve">в отношении </w:t>
      </w:r>
      <w:r>
        <w:rPr>
          <w:rFonts w:ascii="Times New Roman" w:hAnsi="Times New Roman"/>
          <w:sz w:val="28"/>
        </w:rPr>
        <w:t xml:space="preserve">здания </w:t>
      </w:r>
      <w:r>
        <w:rPr>
          <w:rFonts w:ascii="Times New Roman" w:hAnsi="Times New Roman"/>
          <w:sz w:val="28"/>
        </w:rPr>
        <w:t xml:space="preserve">бани </w:t>
      </w:r>
      <w:r>
        <w:br/>
      </w:r>
      <w:r>
        <w:rPr>
          <w:rFonts w:ascii="Times New Roman" w:hAnsi="Times New Roman"/>
          <w:sz w:val="28"/>
        </w:rPr>
        <w:t xml:space="preserve">с кадастровым номером 26:12:030732:205, </w:t>
      </w:r>
      <w:r>
        <w:rPr>
          <w:rFonts w:ascii="Times New Roman" w:hAnsi="Times New Roman"/>
          <w:sz w:val="28"/>
        </w:rPr>
        <w:t xml:space="preserve">расположенного </w:t>
      </w:r>
      <w:r>
        <w:rPr>
          <w:rFonts w:ascii="Times New Roman" w:hAnsi="Times New Roman"/>
          <w:sz w:val="28"/>
        </w:rPr>
        <w:t xml:space="preserve">по адресу: </w:t>
      </w:r>
      <w:r>
        <w:rPr>
          <w:rFonts w:ascii="Times New Roman" w:hAnsi="Times New Roman"/>
          <w:color w:val="000000"/>
          <w:sz w:val="28"/>
          <w:highlight w:val="white"/>
        </w:rPr>
        <w:t xml:space="preserve">Российская Федерация, </w:t>
      </w:r>
      <w:r>
        <w:br/>
      </w:r>
      <w:r>
        <w:rPr>
          <w:rFonts w:ascii="Times New Roman" w:hAnsi="Times New Roman"/>
          <w:color w:val="000000"/>
          <w:sz w:val="28"/>
          <w:highlight w:val="white"/>
        </w:rPr>
        <w:t xml:space="preserve">Ставропольский край, </w:t>
      </w:r>
      <w:r>
        <w:rPr>
          <w:rFonts w:ascii="Times New Roman" w:hAnsi="Times New Roman"/>
          <w:color w:val="000000"/>
          <w:sz w:val="28"/>
          <w:highlight w:val="white"/>
        </w:rPr>
        <w:t xml:space="preserve">г. Ставрополь, </w:t>
      </w:r>
      <w:r>
        <w:rPr>
          <w:rFonts w:ascii="Times New Roman" w:hAnsi="Times New Roman"/>
          <w:color w:val="000000"/>
          <w:sz w:val="28"/>
          <w:highlight w:val="white"/>
        </w:rPr>
        <w:t>пер. Крупской, стр. 29в</w:t>
      </w:r>
      <w:r>
        <w:rPr>
          <w:rFonts w:ascii="Times New Roman" w:hAnsi="Times New Roman"/>
          <w:color w:val="000000"/>
          <w:sz w:val="27"/>
          <w:highlight w:val="white"/>
        </w:rPr>
        <w:t xml:space="preserve"> </w:t>
      </w:r>
      <w:r>
        <w:t>(далее – Конкурс)</w:t>
      </w:r>
    </w:p>
    <w:p w14:paraId="93000000">
      <w:pPr>
        <w:pStyle w:val="Style_3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center"/>
        <w:rPr>
          <w:sz w:val="16"/>
        </w:rPr>
      </w:pPr>
    </w:p>
    <w:tbl>
      <w:tblPr>
        <w:tblStyle w:val="Style_5"/>
        <w:tblW w:type="auto" w:w="0"/>
        <w:jc w:val="left"/>
        <w:tblInd w:type="dxa" w:w="-8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51"/>
        <w:gridCol w:w="3839"/>
        <w:gridCol w:w="3685"/>
        <w:gridCol w:w="3458"/>
        <w:gridCol w:w="3402"/>
      </w:tblGrid>
      <w:tr>
        <w:trPr>
          <w:trHeight w:hRule="atLeast" w:val="360"/>
        </w:trPr>
        <w:tc>
          <w:tcPr>
            <w:tcW w:type="dxa" w:w="7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№  п/п</w:t>
            </w:r>
          </w:p>
        </w:tc>
        <w:tc>
          <w:tcPr>
            <w:tcW w:type="dxa" w:w="383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type="dxa" w:w="1054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Параметры критерия</w:t>
            </w:r>
          </w:p>
        </w:tc>
      </w:tr>
      <w:tr>
        <w:trPr>
          <w:trHeight w:hRule="atLeast" w:val="1429"/>
        </w:trPr>
        <w:tc>
          <w:tcPr>
            <w:tcW w:type="dxa" w:w="7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83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3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00000">
            <w:pPr>
              <w:spacing w:line="240" w:lineRule="auto"/>
              <w:ind w:hanging="709" w:left="709"/>
              <w:jc w:val="center"/>
              <w:rPr>
                <w:sz w:val="24"/>
              </w:rPr>
            </w:pPr>
            <w:r>
              <w:rPr>
                <w:sz w:val="24"/>
              </w:rPr>
              <w:t>начальное условие в виде</w:t>
            </w:r>
          </w:p>
          <w:p w14:paraId="98000000">
            <w:pPr>
              <w:spacing w:line="240" w:lineRule="auto"/>
              <w:ind w:hanging="709" w:left="709"/>
              <w:jc w:val="center"/>
              <w:rPr>
                <w:sz w:val="24"/>
              </w:rPr>
            </w:pPr>
            <w:r>
              <w:rPr>
                <w:sz w:val="24"/>
              </w:rPr>
              <w:t>числа (начальное значение</w:t>
            </w:r>
          </w:p>
          <w:p w14:paraId="99000000">
            <w:pPr>
              <w:spacing w:line="240" w:lineRule="auto"/>
              <w:ind w:hanging="709" w:left="709"/>
              <w:jc w:val="center"/>
              <w:rPr>
                <w:sz w:val="24"/>
              </w:rPr>
            </w:pPr>
            <w:r>
              <w:rPr>
                <w:sz w:val="24"/>
              </w:rPr>
              <w:t>критерия Конкурса)</w:t>
            </w:r>
          </w:p>
        </w:tc>
        <w:tc>
          <w:tcPr>
            <w:tcW w:type="dxa" w:w="34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уменьшение или увеличение </w:t>
            </w:r>
            <w:r>
              <w:rPr>
                <w:sz w:val="24"/>
              </w:rPr>
              <w:t>начального значения критерия Конкурса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конкурсном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type="dxa" w:w="3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коэффициент значимости </w:t>
            </w:r>
            <w:r>
              <w:rPr>
                <w:sz w:val="24"/>
              </w:rPr>
              <w:t>критерия Конкурса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(от 0 до </w:t>
            </w:r>
            <w:r>
              <w:rPr>
                <w:sz w:val="24"/>
              </w:rPr>
              <w:t xml:space="preserve">1).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Сумма значений всех </w:t>
            </w:r>
            <w:r>
              <w:rPr>
                <w:sz w:val="24"/>
              </w:rPr>
              <w:t xml:space="preserve">коэффициентов должна быть </w:t>
            </w:r>
            <w:r>
              <w:rPr>
                <w:sz w:val="24"/>
              </w:rPr>
              <w:t>равна 1</w:t>
            </w:r>
          </w:p>
        </w:tc>
      </w:tr>
      <w:tr>
        <w:trPr>
          <w:trHeight w:hRule="atLeast" w:val="360"/>
        </w:trPr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00000">
            <w:pPr>
              <w:spacing w:line="240" w:lineRule="auto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Срок выполнения работ                           по </w:t>
            </w:r>
            <w:r>
              <w:rPr>
                <w:sz w:val="24"/>
              </w:rPr>
              <w:t xml:space="preserve">реконструкции объектов </w:t>
            </w:r>
            <w:r>
              <w:rPr>
                <w:sz w:val="24"/>
              </w:rPr>
              <w:t>концессионного соглашения</w:t>
            </w:r>
          </w:p>
        </w:tc>
        <w:tc>
          <w:tcPr>
            <w:tcW w:type="dxa" w:w="3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5 (пять) лет</w:t>
            </w:r>
          </w:p>
        </w:tc>
        <w:tc>
          <w:tcPr>
            <w:tcW w:type="dxa" w:w="34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значение подлежит уменьшению</w:t>
            </w:r>
          </w:p>
        </w:tc>
        <w:tc>
          <w:tcPr>
            <w:tcW w:type="dxa" w:w="3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>
        <w:trPr>
          <w:trHeight w:hRule="atLeast" w:val="360"/>
        </w:trPr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3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rPr>
                <w:sz w:val="24"/>
              </w:rPr>
            </w:pPr>
            <w:r>
              <w:rPr>
                <w:sz w:val="24"/>
              </w:rPr>
              <w:t>Технико-экономические показатели объекта концессионного соглашения</w:t>
            </w:r>
          </w:p>
        </w:tc>
        <w:tc>
          <w:tcPr>
            <w:tcW w:type="dxa" w:w="3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наличие общих отделений бани</w:t>
            </w:r>
            <w:r>
              <w:rPr>
                <w:sz w:val="24"/>
              </w:rPr>
              <w:t xml:space="preserve"> общей площадью не менее 50 (пятидесяти) квадратных метров</w:t>
            </w:r>
          </w:p>
        </w:tc>
        <w:tc>
          <w:tcPr>
            <w:tcW w:type="dxa" w:w="34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значение подлежит увеличению</w:t>
            </w:r>
          </w:p>
          <w:p w14:paraId="A5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rPr>
          <w:trHeight w:hRule="atLeast" w:val="554"/>
        </w:trPr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00000">
            <w:pPr>
              <w:rPr>
                <w:sz w:val="24"/>
              </w:rPr>
            </w:pPr>
            <w:r>
              <w:rPr>
                <w:sz w:val="24"/>
              </w:rPr>
              <w:t>Технико-экономические показатели объекта концессионного соглашения</w:t>
            </w:r>
          </w:p>
        </w:tc>
        <w:tc>
          <w:tcPr>
            <w:tcW w:type="dxa" w:w="3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наличие парных комнат в общих отделениях бани в общем количестве </w:t>
            </w:r>
            <w:r>
              <w:rPr>
                <w:sz w:val="24"/>
              </w:rPr>
              <w:t>не менее 2 (двух) единиц</w:t>
            </w:r>
          </w:p>
        </w:tc>
        <w:tc>
          <w:tcPr>
            <w:tcW w:type="dxa" w:w="34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значение подлежит увеличению</w:t>
            </w:r>
          </w:p>
        </w:tc>
        <w:tc>
          <w:tcPr>
            <w:tcW w:type="dxa" w:w="3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rPr>
          <w:trHeight w:hRule="atLeast" w:val="641"/>
        </w:trPr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00000">
            <w:pPr>
              <w:rPr>
                <w:sz w:val="24"/>
              </w:rPr>
            </w:pPr>
            <w:r>
              <w:rPr>
                <w:sz w:val="24"/>
              </w:rPr>
              <w:t>Технико-экономические показатели объекта концессионного соглашения</w:t>
            </w:r>
          </w:p>
        </w:tc>
        <w:tc>
          <w:tcPr>
            <w:tcW w:type="dxa" w:w="3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наличие душевых кабин </w:t>
            </w:r>
            <w:r>
              <w:rPr>
                <w:sz w:val="24"/>
              </w:rPr>
              <w:t>в общих отделениях бани в общем</w:t>
            </w:r>
            <w:r>
              <w:rPr>
                <w:sz w:val="24"/>
              </w:rPr>
              <w:t xml:space="preserve"> количестве </w:t>
            </w:r>
            <w:r>
              <w:rPr>
                <w:sz w:val="24"/>
              </w:rPr>
              <w:t>не менее 4 (четырех) единиц</w:t>
            </w:r>
          </w:p>
        </w:tc>
        <w:tc>
          <w:tcPr>
            <w:tcW w:type="dxa" w:w="34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значение подлежит увеличению</w:t>
            </w:r>
          </w:p>
        </w:tc>
        <w:tc>
          <w:tcPr>
            <w:tcW w:type="dxa" w:w="3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</w:tbl>
    <w:p w14:paraId="B1000000">
      <w:pPr>
        <w:rPr>
          <w:sz w:val="24"/>
        </w:rPr>
      </w:pPr>
    </w:p>
    <w:p w14:paraId="B2000000">
      <w:pPr>
        <w:widowControl w:val="0"/>
        <w:ind/>
        <w:jc w:val="center"/>
        <w:rPr>
          <w:sz w:val="20"/>
          <w:highlight w:val="white"/>
        </w:rPr>
      </w:pPr>
      <w:r>
        <w:t>____________________</w:t>
      </w:r>
    </w:p>
    <w:p w14:paraId="B3000000">
      <w:pPr>
        <w:sectPr>
          <w:headerReference r:id="rId5" w:type="even"/>
          <w:type w:val="nextPage"/>
          <w:pgSz w:h="11908" w:orient="landscape" w:w="16848"/>
          <w:pgMar w:bottom="1134" w:footer="0" w:gutter="0" w:header="709" w:left="1984" w:right="567" w:top="1304"/>
          <w:pgNumType w:fmt="decimal"/>
          <w:titlePg/>
        </w:sectPr>
      </w:pPr>
    </w:p>
    <w:p w14:paraId="B4000000">
      <w:pPr>
        <w:spacing w:after="0" w:before="168" w:line="240" w:lineRule="exact"/>
        <w:ind w:firstLine="0" w:left="10063" w:right="0"/>
        <w:jc w:val="left"/>
        <w:rPr>
          <w:b w:val="0"/>
        </w:rPr>
      </w:pPr>
    </w:p>
    <w:p w14:paraId="B5000000">
      <w:pPr>
        <w:spacing w:after="0" w:before="168" w:line="240" w:lineRule="exact"/>
        <w:ind w:firstLine="0" w:left="10063" w:right="0"/>
        <w:jc w:val="left"/>
        <w:rPr>
          <w:b w:val="0"/>
        </w:rPr>
      </w:pPr>
      <w:r>
        <w:t>УСТАНОВЛЕНЫ</w:t>
      </w:r>
      <w:r>
        <w:br/>
      </w:r>
    </w:p>
    <w:p w14:paraId="B6000000">
      <w:pPr>
        <w:spacing w:after="0" w:before="0" w:line="240" w:lineRule="exact"/>
        <w:ind w:firstLine="0" w:left="10063" w:right="0"/>
        <w:jc w:val="left"/>
        <w:rPr>
          <w:b w:val="0"/>
        </w:rPr>
      </w:pPr>
      <w:r>
        <w:rPr>
          <w:b w:val="0"/>
        </w:rPr>
        <w:t>постановлением</w:t>
      </w:r>
    </w:p>
    <w:p w14:paraId="B7000000">
      <w:pPr>
        <w:spacing w:after="0" w:before="0" w:line="240" w:lineRule="exact"/>
        <w:ind w:firstLine="0" w:left="10063" w:right="0"/>
        <w:jc w:val="left"/>
        <w:rPr>
          <w:b w:val="0"/>
        </w:rPr>
      </w:pPr>
      <w:r>
        <w:rPr>
          <w:b w:val="0"/>
        </w:rPr>
        <w:t>администрации города Ставрополя</w:t>
      </w:r>
    </w:p>
    <w:p w14:paraId="B8000000">
      <w:pPr>
        <w:pStyle w:val="Style_3"/>
        <w:tabs>
          <w:tab w:leader="none" w:pos="709" w:val="clear"/>
          <w:tab w:leader="none" w:pos="9072" w:val="right"/>
        </w:tabs>
        <w:spacing w:line="240" w:lineRule="auto"/>
        <w:ind w:firstLine="0" w:left="10063" w:right="0"/>
        <w:jc w:val="left"/>
      </w:pPr>
      <w:r>
        <w:rPr>
          <w:b w:val="0"/>
        </w:rPr>
        <w:t>от 03.06.2024 № 1072</w:t>
      </w:r>
    </w:p>
    <w:p w14:paraId="B9000000">
      <w:pPr>
        <w:pStyle w:val="Style_3"/>
        <w:tabs>
          <w:tab w:leader="none" w:pos="709" w:val="clear"/>
          <w:tab w:leader="none" w:pos="9072" w:val="right"/>
        </w:tabs>
        <w:spacing w:line="240" w:lineRule="auto"/>
        <w:ind w:firstLine="0" w:left="10772" w:right="0"/>
        <w:jc w:val="left"/>
      </w:pPr>
    </w:p>
    <w:p w14:paraId="BA000000">
      <w:pPr>
        <w:spacing w:line="240" w:lineRule="exact"/>
        <w:ind/>
        <w:jc w:val="center"/>
      </w:pPr>
      <w:r>
        <w:rPr>
          <w:caps w:val="1"/>
        </w:rPr>
        <w:t>Задание и перечень</w:t>
      </w:r>
    </w:p>
    <w:p w14:paraId="BB000000">
      <w:pPr>
        <w:spacing w:line="240" w:lineRule="exact"/>
        <w:ind/>
        <w:jc w:val="center"/>
      </w:pPr>
      <w:r>
        <w:t xml:space="preserve">мероприятий по реконструкции </w:t>
      </w:r>
      <w:r>
        <w:t xml:space="preserve">и </w:t>
      </w:r>
      <w:r>
        <w:t>использованию (</w:t>
      </w:r>
      <w:r>
        <w:t>эксплуатации)</w:t>
      </w:r>
      <w:r>
        <w:t xml:space="preserve"> объекта концессионного соглашения</w:t>
      </w:r>
    </w:p>
    <w:p w14:paraId="BC000000">
      <w:pPr>
        <w:pStyle w:val="Style_3"/>
        <w:tabs>
          <w:tab w:leader="none" w:pos="709" w:val="clear"/>
          <w:tab w:leader="none" w:pos="9072" w:val="right"/>
        </w:tabs>
        <w:spacing w:line="240" w:lineRule="auto"/>
        <w:ind w:hanging="10063" w:left="10772" w:right="0"/>
        <w:jc w:val="left"/>
      </w:pPr>
    </w:p>
    <w:tbl>
      <w:tblPr>
        <w:tblStyle w:val="Style_5"/>
        <w:tblW w:type="auto" w:w="0"/>
        <w:jc w:val="left"/>
        <w:tblInd w:type="dxa" w:w="-79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0"/>
        <w:gridCol w:w="2042"/>
        <w:gridCol w:w="2230"/>
        <w:gridCol w:w="6143"/>
        <w:gridCol w:w="2655"/>
        <w:gridCol w:w="1247"/>
        <w:gridCol w:w="200"/>
      </w:tblGrid>
      <w:tr>
        <w:trPr>
          <w:trHeight w:hRule="atLeast" w:val="360"/>
        </w:trPr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42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type="dxa" w:w="61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type="dxa" w:w="410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Плановые расходы </w:t>
            </w:r>
            <w:r>
              <w:rPr>
                <w:sz w:val="24"/>
              </w:rPr>
              <w:t xml:space="preserve">на реализацию мероприятия </w:t>
            </w:r>
            <w:r>
              <w:rPr>
                <w:sz w:val="24"/>
              </w:rPr>
              <w:t>в прогнозных ценах, тыс. рублей</w:t>
            </w:r>
          </w:p>
        </w:tc>
      </w:tr>
      <w:tr>
        <w:trPr>
          <w:trHeight w:hRule="atLeast" w:val="360"/>
        </w:trPr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42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Общестроительные работы</w:t>
            </w:r>
          </w:p>
        </w:tc>
        <w:tc>
          <w:tcPr>
            <w:tcW w:type="dxa" w:w="61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00000">
            <w:pPr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демонтаж отмостки,</w:t>
            </w:r>
            <w:r>
              <w:rPr>
                <w:sz w:val="24"/>
              </w:rPr>
              <w:t xml:space="preserve"> отделк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фасада, </w:t>
            </w:r>
            <w:r>
              <w:rPr>
                <w:sz w:val="24"/>
              </w:rPr>
              <w:t>крыши</w:t>
            </w:r>
            <w:r>
              <w:rPr>
                <w:sz w:val="24"/>
              </w:rPr>
              <w:t>, окон, керамической плитки и штукатурки (цоколь, стены, потолки), полов;</w:t>
            </w:r>
          </w:p>
          <w:p w14:paraId="C4000000">
            <w:pPr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 новой отмостки, частичное усиление фасада,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разработка проектной документации по реконструкции </w:t>
            </w:r>
            <w:r>
              <w:rPr>
                <w:sz w:val="24"/>
              </w:rPr>
              <w:t>новой крыши, реконструкция</w:t>
            </w:r>
            <w:r>
              <w:rPr>
                <w:sz w:val="24"/>
              </w:rPr>
              <w:t xml:space="preserve"> крыши с измененным углом наклона,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установка новых окон, нанесение штукатурки по сетке (цоколь, стены, потолки), замена полов</w:t>
            </w:r>
          </w:p>
        </w:tc>
        <w:tc>
          <w:tcPr>
            <w:tcW w:type="dxa" w:w="410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29 972,75</w:t>
            </w:r>
          </w:p>
        </w:tc>
      </w:tr>
      <w:tr>
        <w:trPr>
          <w:trHeight w:hRule="atLeast" w:val="360"/>
        </w:trPr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42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Работы по модернизации систем инженерного обеспечения</w:t>
            </w:r>
          </w:p>
        </w:tc>
        <w:tc>
          <w:tcPr>
            <w:tcW w:type="dxa" w:w="61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00000">
            <w:pPr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замена и восстановление</w:t>
            </w:r>
            <w:r>
              <w:rPr>
                <w:sz w:val="24"/>
              </w:rPr>
              <w:t xml:space="preserve"> систем отопления, вентиляции, водопровода, канализации, сетей связи и электроснабжения</w:t>
            </w:r>
          </w:p>
        </w:tc>
        <w:tc>
          <w:tcPr>
            <w:tcW w:type="dxa" w:w="410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6 792,41</w:t>
            </w:r>
          </w:p>
        </w:tc>
      </w:tr>
      <w:tr>
        <w:trPr>
          <w:trHeight w:hRule="atLeast" w:val="360"/>
        </w:trPr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42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>епредвиденные</w:t>
            </w:r>
            <w:r>
              <w:rPr>
                <w:sz w:val="24"/>
              </w:rPr>
              <w:t xml:space="preserve"> затраты</w:t>
            </w:r>
          </w:p>
        </w:tc>
        <w:tc>
          <w:tcPr>
            <w:tcW w:type="dxa" w:w="61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00000">
            <w:pPr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непредвиденных работ</w:t>
            </w:r>
          </w:p>
        </w:tc>
        <w:tc>
          <w:tcPr>
            <w:tcW w:type="dxa" w:w="410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735,31</w:t>
            </w:r>
          </w:p>
        </w:tc>
      </w:tr>
      <w:tr>
        <w:trPr>
          <w:trHeight w:hRule="atLeast" w:val="360"/>
        </w:trPr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42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Уплата налогов</w:t>
            </w:r>
          </w:p>
        </w:tc>
        <w:tc>
          <w:tcPr>
            <w:tcW w:type="dxa" w:w="61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00000">
            <w:pPr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уплата налогов и обязательных платежей</w:t>
            </w:r>
          </w:p>
        </w:tc>
        <w:tc>
          <w:tcPr>
            <w:tcW w:type="dxa" w:w="410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7 500,10</w:t>
            </w:r>
          </w:p>
        </w:tc>
      </w:tr>
      <w:tr>
        <w:trPr>
          <w:trHeight w:hRule="atLeast" w:val="360"/>
        </w:trPr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1041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type="dxa" w:w="410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45 000,57</w:t>
            </w:r>
          </w:p>
        </w:tc>
      </w:tr>
    </w:tbl>
    <w:p w14:paraId="D5000000">
      <w:pPr>
        <w:pStyle w:val="Style_3"/>
        <w:tabs>
          <w:tab w:leader="none" w:pos="709" w:val="clear"/>
          <w:tab w:leader="none" w:pos="9072" w:val="right"/>
        </w:tabs>
        <w:spacing w:line="240" w:lineRule="auto"/>
        <w:ind w:firstLine="0" w:left="0" w:right="0"/>
        <w:jc w:val="center"/>
        <w:rPr>
          <w:sz w:val="28"/>
        </w:rPr>
      </w:pPr>
    </w:p>
    <w:p w14:paraId="D6000000">
      <w:pPr>
        <w:widowControl w:val="0"/>
        <w:ind w:firstLine="708" w:left="0"/>
        <w:jc w:val="both"/>
        <w:rPr>
          <w:highlight w:val="white"/>
        </w:rPr>
      </w:pPr>
    </w:p>
    <w:p w14:paraId="D7000000">
      <w:pPr>
        <w:widowControl w:val="0"/>
        <w:ind/>
        <w:jc w:val="center"/>
        <w:rPr>
          <w:highlight w:val="white"/>
        </w:rPr>
      </w:pPr>
      <w:r>
        <w:t>____________________</w:t>
      </w:r>
    </w:p>
    <w:sectPr>
      <w:headerReference r:id="rId6" w:type="default"/>
      <w:headerReference r:id="rId4" w:type="first"/>
      <w:headerReference r:id="rId3" w:type="even"/>
      <w:type w:val="nextPage"/>
      <w:pgSz w:h="11908" w:orient="landscape" w:w="16848"/>
      <w:pgMar w:bottom="1134" w:footer="0" w:gutter="0" w:header="709" w:left="1984" w:right="567" w:top="0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  <w:ind/>
      <w:jc w:val="center"/>
    </w:pPr>
  </w:p>
  <w:p w14:paraId="09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000000">
                          <w:pPr>
                            <w:pStyle w:val="Style_3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pacing w:val="0"/>
      <w:sz w:val="28"/>
    </w:rPr>
  </w:style>
  <w:style w:styleId="Style_6" w:type="paragraph">
    <w:name w:val="toc 2"/>
    <w:next w:val="Style_3"/>
    <w:link w:val="Style_6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Caption"/>
    <w:basedOn w:val="Style_3"/>
    <w:link w:val="Style_7_ch"/>
    <w:pPr>
      <w:spacing w:after="120" w:before="120"/>
      <w:ind/>
    </w:pPr>
    <w:rPr>
      <w:i w:val="1"/>
      <w:sz w:val="24"/>
    </w:rPr>
  </w:style>
  <w:style w:styleId="Style_7_ch" w:type="character">
    <w:name w:val="Caption"/>
    <w:basedOn w:val="Style_3_ch"/>
    <w:link w:val="Style_7"/>
    <w:rPr>
      <w:i w:val="1"/>
      <w:sz w:val="24"/>
    </w:rPr>
  </w:style>
  <w:style w:styleId="Style_8" w:type="paragraph">
    <w:name w:val="toc 4"/>
    <w:next w:val="Style_3"/>
    <w:link w:val="Style_8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Колонтитул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Колонтитул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6"/>
    <w:next w:val="Style_3"/>
    <w:link w:val="Style_10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6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toc 7"/>
    <w:next w:val="Style_3"/>
    <w:link w:val="Style_11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7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Привязка сноски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12_ch" w:type="character">
    <w:name w:val="Привязка сноски"/>
    <w:link w:val="Style_12"/>
    <w:rPr>
      <w:rFonts w:ascii="Times New Roman" w:hAnsi="Times New Roman"/>
      <w:color w:val="000000"/>
      <w:spacing w:val="0"/>
      <w:sz w:val="20"/>
      <w:vertAlign w:val="superscript"/>
    </w:rPr>
  </w:style>
  <w:style w:styleId="Style_13" w:type="paragraph">
    <w:name w:val="List Paragraph"/>
    <w:basedOn w:val="Style_3"/>
    <w:link w:val="Style_13_ch"/>
    <w:pPr>
      <w:spacing w:after="0" w:before="0"/>
      <w:ind w:firstLine="0" w:left="720" w:right="0"/>
      <w:contextualSpacing w:val="1"/>
    </w:pPr>
  </w:style>
  <w:style w:styleId="Style_13_ch" w:type="character">
    <w:name w:val="List Paragraph"/>
    <w:basedOn w:val="Style_3_ch"/>
    <w:link w:val="Style_13"/>
  </w:style>
  <w:style w:styleId="Style_14" w:type="paragraph">
    <w:name w:val="Endnote"/>
    <w:basedOn w:val="Style_3"/>
    <w:link w:val="Style_14_ch"/>
  </w:style>
  <w:style w:styleId="Style_14_ch" w:type="character">
    <w:name w:val="Endnote"/>
    <w:basedOn w:val="Style_3_ch"/>
    <w:link w:val="Style_14"/>
  </w:style>
  <w:style w:styleId="Style_15" w:type="paragraph">
    <w:name w:val="heading 3"/>
    <w:link w:val="Style_15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Text body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6_ch" w:type="character">
    <w:name w:val="Text body"/>
    <w:link w:val="Style_16"/>
    <w:rPr>
      <w:rFonts w:ascii="Times New Roman" w:hAnsi="Times New Roman"/>
      <w:color w:val="000000"/>
      <w:spacing w:val="0"/>
      <w:sz w:val="20"/>
    </w:rPr>
  </w:style>
  <w:style w:styleId="Style_17" w:type="paragraph">
    <w:name w:val="Default Paragraph Font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7_ch" w:type="character">
    <w:name w:val="Default Paragraph Font"/>
    <w:link w:val="Style_17"/>
    <w:rPr>
      <w:rFonts w:ascii="Times New Roman" w:hAnsi="Times New Roman"/>
      <w:color w:val="000000"/>
      <w:spacing w:val="0"/>
      <w:sz w:val="20"/>
    </w:rPr>
  </w:style>
  <w:style w:styleId="Style_18" w:type="paragraph">
    <w:name w:val="List"/>
    <w:basedOn w:val="Style_4"/>
    <w:link w:val="Style_18_ch"/>
  </w:style>
  <w:style w:styleId="Style_18_ch" w:type="character">
    <w:name w:val="List"/>
    <w:basedOn w:val="Style_4_ch"/>
    <w:link w:val="Style_18"/>
  </w:style>
  <w:style w:styleId="Style_19" w:type="paragraph">
    <w:name w:val="Символ сноски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_ch" w:type="character">
    <w:name w:val="Символ сноски"/>
    <w:link w:val="Style_19"/>
    <w:rPr>
      <w:rFonts w:ascii="Times New Roman" w:hAnsi="Times New Roman"/>
      <w:color w:val="000000"/>
      <w:spacing w:val="0"/>
      <w:sz w:val="20"/>
    </w:rPr>
  </w:style>
  <w:style w:styleId="Style_20" w:type="paragraph">
    <w:name w:val="Указатель"/>
    <w:basedOn w:val="Style_3"/>
    <w:link w:val="Style_20_ch"/>
  </w:style>
  <w:style w:styleId="Style_20_ch" w:type="character">
    <w:name w:val="Указатель"/>
    <w:basedOn w:val="Style_3_ch"/>
    <w:link w:val="Style_20"/>
  </w:style>
  <w:style w:styleId="Style_21" w:type="paragraph">
    <w:name w:val="heading 2"/>
    <w:next w:val="Style_3"/>
    <w:link w:val="Style_21_ch"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1_ch" w:type="character">
    <w:name w:val="heading 2"/>
    <w:link w:val="Style_21"/>
    <w:rPr>
      <w:rFonts w:ascii="XO Thames" w:hAnsi="XO Thames"/>
      <w:b w:val="1"/>
      <w:color w:val="000000"/>
      <w:spacing w:val="0"/>
      <w:sz w:val="28"/>
    </w:rPr>
  </w:style>
  <w:style w:styleId="Style_22" w:type="paragraph">
    <w:name w:val="Title"/>
    <w:basedOn w:val="Style_3"/>
    <w:link w:val="Style_22_ch"/>
    <w:pPr>
      <w:ind/>
      <w:jc w:val="center"/>
    </w:pPr>
    <w:rPr>
      <w:spacing w:val="-20"/>
      <w:sz w:val="36"/>
    </w:rPr>
  </w:style>
  <w:style w:styleId="Style_22_ch" w:type="character">
    <w:name w:val="Title"/>
    <w:basedOn w:val="Style_3_ch"/>
    <w:link w:val="Style_22"/>
    <w:rPr>
      <w:spacing w:val="-20"/>
      <w:sz w:val="36"/>
    </w:rPr>
  </w:style>
  <w:style w:styleId="Style_23" w:type="paragraph">
    <w:name w:val="toc 3"/>
    <w:next w:val="Style_3"/>
    <w:link w:val="Style_23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toc 3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heading 4"/>
    <w:next w:val="Style_3"/>
    <w:link w:val="Style_24_ch"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24_ch" w:type="character">
    <w:name w:val="heading 4"/>
    <w:link w:val="Style_24"/>
    <w:rPr>
      <w:rFonts w:ascii="XO Thames" w:hAnsi="XO Thames"/>
      <w:b w:val="1"/>
      <w:color w:val="000000"/>
      <w:spacing w:val="0"/>
      <w:sz w:val="24"/>
    </w:rPr>
  </w:style>
  <w:style w:styleId="Style_25" w:type="paragraph">
    <w:name w:val="Привязка концевой сноски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25_ch" w:type="character">
    <w:name w:val="Привязка концевой сноски"/>
    <w:link w:val="Style_25"/>
    <w:rPr>
      <w:rFonts w:ascii="Times New Roman" w:hAnsi="Times New Roman"/>
      <w:color w:val="000000"/>
      <w:spacing w:val="0"/>
      <w:sz w:val="20"/>
      <w:vertAlign w:val="superscript"/>
    </w:rPr>
  </w:style>
  <w:style w:styleId="Style_26" w:type="paragraph">
    <w:name w:val="Заголовок"/>
    <w:basedOn w:val="Style_3"/>
    <w:next w:val="Style_4"/>
    <w:link w:val="Style_2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6_ch" w:type="character">
    <w:name w:val="Заголовок"/>
    <w:basedOn w:val="Style_3_ch"/>
    <w:link w:val="Style_26"/>
    <w:rPr>
      <w:rFonts w:ascii="Liberation Sans" w:hAnsi="Liberation Sans"/>
      <w:sz w:val="28"/>
    </w:rPr>
  </w:style>
  <w:style w:styleId="Style_27" w:type="paragraph">
    <w:name w:val="heading 5"/>
    <w:next w:val="Style_3"/>
    <w:link w:val="Style_27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7_ch" w:type="character">
    <w:name w:val="heading 5"/>
    <w:link w:val="Style_27"/>
    <w:rPr>
      <w:rFonts w:ascii="XO Thames" w:hAnsi="XO Thames"/>
      <w:b w:val="1"/>
      <w:color w:val="000000"/>
      <w:spacing w:val="0"/>
      <w:sz w:val="22"/>
    </w:rPr>
  </w:style>
  <w:style w:styleId="Style_28" w:type="paragraph">
    <w:name w:val="Caption"/>
    <w:link w:val="Style_28_ch"/>
    <w:rPr>
      <w:i w:val="1"/>
      <w:sz w:val="24"/>
    </w:rPr>
  </w:style>
  <w:style w:styleId="Style_28_ch" w:type="character">
    <w:name w:val="Caption"/>
    <w:link w:val="Style_28"/>
    <w:rPr>
      <w:i w:val="1"/>
      <w:sz w:val="24"/>
    </w:rPr>
  </w:style>
  <w:style w:styleId="Style_29" w:type="paragraph">
    <w:name w:val="Balloon Text"/>
    <w:basedOn w:val="Style_3"/>
    <w:link w:val="Style_29_ch"/>
    <w:rPr>
      <w:rFonts w:ascii="Tahoma" w:hAnsi="Tahoma"/>
      <w:sz w:val="16"/>
    </w:rPr>
  </w:style>
  <w:style w:styleId="Style_29_ch" w:type="character">
    <w:name w:val="Balloon Text"/>
    <w:basedOn w:val="Style_3_ch"/>
    <w:link w:val="Style_29"/>
    <w:rPr>
      <w:rFonts w:ascii="Tahoma" w:hAnsi="Tahoma"/>
      <w:sz w:val="16"/>
    </w:rPr>
  </w:style>
  <w:style w:styleId="Style_30" w:type="paragraph">
    <w:name w:val="heading 1"/>
    <w:next w:val="Style_3"/>
    <w:link w:val="Style_30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0_ch" w:type="character">
    <w:name w:val="heading 1"/>
    <w:link w:val="Style_30"/>
    <w:rPr>
      <w:rFonts w:ascii="XO Thames" w:hAnsi="XO Thames"/>
      <w:b w:val="1"/>
      <w:color w:val="000000"/>
      <w:spacing w:val="0"/>
      <w:sz w:val="32"/>
    </w:rPr>
  </w:style>
  <w:style w:styleId="Style_31" w:type="paragraph">
    <w:name w:val="Hyperlink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31_ch" w:type="character">
    <w:name w:val="Hyperlink"/>
    <w:link w:val="Style_31"/>
    <w:rPr>
      <w:rFonts w:ascii="Times New Roman" w:hAnsi="Times New Roman"/>
      <w:color w:val="0000FF"/>
      <w:spacing w:val="0"/>
      <w:sz w:val="20"/>
      <w:u w:val="single"/>
    </w:rPr>
  </w:style>
  <w:style w:styleId="Style_32" w:type="paragraph">
    <w:name w:val="Footnote"/>
    <w:link w:val="Style_3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2_ch" w:type="character">
    <w:name w:val="Footnote"/>
    <w:link w:val="Style_32"/>
    <w:rPr>
      <w:rFonts w:ascii="XO Thames" w:hAnsi="XO Thames"/>
      <w:color w:val="000000"/>
      <w:spacing w:val="0"/>
      <w:sz w:val="22"/>
    </w:rPr>
  </w:style>
  <w:style w:styleId="Style_33" w:type="paragraph">
    <w:name w:val="toc 1"/>
    <w:next w:val="Style_3"/>
    <w:link w:val="Style_33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3_ch" w:type="character">
    <w:name w:val="toc 1"/>
    <w:link w:val="Style_33"/>
    <w:rPr>
      <w:rFonts w:ascii="XO Thames" w:hAnsi="XO Thames"/>
      <w:b w:val="1"/>
      <w:color w:val="000000"/>
      <w:spacing w:val="0"/>
      <w:sz w:val="28"/>
    </w:rPr>
  </w:style>
  <w:style w:styleId="Style_2" w:type="paragraph">
    <w:name w:val="Header and Footer"/>
    <w:link w:val="Style_2_ch"/>
    <w:rPr>
      <w:rFonts w:ascii="XO Thames" w:hAnsi="XO Thames"/>
      <w:sz w:val="28"/>
    </w:rPr>
  </w:style>
  <w:style w:styleId="Style_2_ch" w:type="character">
    <w:name w:val="Header and Footer"/>
    <w:link w:val="Style_2"/>
    <w:rPr>
      <w:rFonts w:ascii="XO Thames" w:hAnsi="XO Thames"/>
      <w:sz w:val="28"/>
    </w:rPr>
  </w:style>
  <w:style w:styleId="Style_34" w:type="paragraph">
    <w:name w:val="Contents 4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4_ch" w:type="character">
    <w:name w:val="Contents 4"/>
    <w:link w:val="Style_34"/>
    <w:rPr>
      <w:rFonts w:ascii="XO Thames" w:hAnsi="XO Thames"/>
      <w:color w:val="000000"/>
      <w:spacing w:val="0"/>
      <w:sz w:val="28"/>
    </w:rPr>
  </w:style>
  <w:style w:styleId="Style_35" w:type="paragraph">
    <w:name w:val="toc 9"/>
    <w:next w:val="Style_3"/>
    <w:link w:val="Style_35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5_ch" w:type="character">
    <w:name w:val="toc 9"/>
    <w:link w:val="Style_35"/>
    <w:rPr>
      <w:rFonts w:ascii="XO Thames" w:hAnsi="XO Thames"/>
      <w:color w:val="000000"/>
      <w:spacing w:val="0"/>
      <w:sz w:val="28"/>
    </w:rPr>
  </w:style>
  <w:style w:styleId="Style_36" w:type="paragraph">
    <w:name w:val="Contents 9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6_ch" w:type="character">
    <w:name w:val="Contents 9"/>
    <w:link w:val="Style_36"/>
    <w:rPr>
      <w:rFonts w:ascii="XO Thames" w:hAnsi="XO Thames"/>
      <w:color w:val="000000"/>
      <w:spacing w:val="0"/>
      <w:sz w:val="28"/>
    </w:rPr>
  </w:style>
  <w:style w:styleId="Style_37" w:type="paragraph">
    <w:name w:val="Contents 6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Contents 6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Contents 7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Contents 7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Subtitle"/>
    <w:link w:val="Style_39_ch"/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List"/>
    <w:basedOn w:val="Style_16"/>
    <w:link w:val="Style_40_ch"/>
  </w:style>
  <w:style w:styleId="Style_40_ch" w:type="character">
    <w:name w:val="List"/>
    <w:basedOn w:val="Style_16_ch"/>
    <w:link w:val="Style_40"/>
  </w:style>
  <w:style w:styleId="Style_41" w:type="paragraph">
    <w:name w:val="Header"/>
    <w:link w:val="Style_41_ch"/>
  </w:style>
  <w:style w:styleId="Style_41_ch" w:type="character">
    <w:name w:val="Header"/>
    <w:link w:val="Style_41"/>
  </w:style>
  <w:style w:styleId="Style_42" w:type="paragraph">
    <w:name w:val="toc 8"/>
    <w:next w:val="Style_3"/>
    <w:link w:val="Style_42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toc 8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heading 3"/>
    <w:next w:val="Style_3"/>
    <w:link w:val="Style_43_ch"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43_ch" w:type="character">
    <w:name w:val="heading 3"/>
    <w:link w:val="Style_43"/>
    <w:rPr>
      <w:rFonts w:ascii="XO Thames" w:hAnsi="XO Thames"/>
      <w:b w:val="1"/>
      <w:color w:val="000000"/>
      <w:spacing w:val="0"/>
      <w:sz w:val="26"/>
    </w:rPr>
  </w:style>
  <w:style w:styleId="Style_44" w:type="paragraph">
    <w:name w:val="page number"/>
    <w:basedOn w:val="Style_17"/>
    <w:link w:val="Style_44_ch"/>
  </w:style>
  <w:style w:styleId="Style_44_ch" w:type="character">
    <w:name w:val="page number"/>
    <w:basedOn w:val="Style_17_ch"/>
    <w:link w:val="Style_44"/>
  </w:style>
  <w:style w:styleId="Style_45" w:type="paragraph">
    <w:name w:val="Contents 2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Contents 2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Contents 1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6_ch" w:type="character">
    <w:name w:val="Contents 1"/>
    <w:link w:val="Style_46"/>
    <w:rPr>
      <w:rFonts w:ascii="XO Thames" w:hAnsi="XO Thames"/>
      <w:b w:val="1"/>
      <w:color w:val="000000"/>
      <w:spacing w:val="0"/>
      <w:sz w:val="28"/>
    </w:rPr>
  </w:style>
  <w:style w:styleId="Style_47" w:type="paragraph">
    <w:name w:val="Интернет-ссылка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47_ch" w:type="character">
    <w:name w:val="Интернет-ссылка"/>
    <w:link w:val="Style_47"/>
    <w:rPr>
      <w:rFonts w:ascii="Times New Roman" w:hAnsi="Times New Roman"/>
      <w:color w:val="0000FF"/>
      <w:spacing w:val="0"/>
      <w:sz w:val="20"/>
      <w:u w:val="single"/>
    </w:rPr>
  </w:style>
  <w:style w:styleId="Style_1" w:type="paragraph">
    <w:name w:val="Header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_ch" w:type="character">
    <w:name w:val="Header"/>
    <w:link w:val="Style_1"/>
    <w:rPr>
      <w:rFonts w:ascii="Times New Roman" w:hAnsi="Times New Roman"/>
      <w:color w:val="000000"/>
      <w:spacing w:val="0"/>
      <w:sz w:val="20"/>
    </w:rPr>
  </w:style>
  <w:style w:styleId="Style_48" w:type="paragraph">
    <w:name w:val="heading 1"/>
    <w:link w:val="Style_48_ch"/>
    <w:pPr>
      <w:ind/>
      <w:outlineLvl w:val="0"/>
    </w:pPr>
    <w:rPr>
      <w:rFonts w:ascii="XO Thames" w:hAnsi="XO Thames"/>
      <w:b w:val="1"/>
      <w:sz w:val="32"/>
    </w:rPr>
  </w:style>
  <w:style w:styleId="Style_48_ch" w:type="character">
    <w:name w:val="heading 1"/>
    <w:link w:val="Style_48"/>
    <w:rPr>
      <w:rFonts w:ascii="XO Thames" w:hAnsi="XO Thames"/>
      <w:b w:val="1"/>
      <w:sz w:val="32"/>
    </w:rPr>
  </w:style>
  <w:style w:styleId="Style_49" w:type="paragraph">
    <w:name w:val="toc 5"/>
    <w:next w:val="Style_3"/>
    <w:link w:val="Style_49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9_ch" w:type="character">
    <w:name w:val="toc 5"/>
    <w:link w:val="Style_49"/>
    <w:rPr>
      <w:rFonts w:ascii="XO Thames" w:hAnsi="XO Thames"/>
      <w:color w:val="000000"/>
      <w:spacing w:val="0"/>
      <w:sz w:val="28"/>
    </w:rPr>
  </w:style>
  <w:style w:styleId="Style_50" w:type="paragraph">
    <w:name w:val="Contents 5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0_ch" w:type="character">
    <w:name w:val="Contents 5"/>
    <w:link w:val="Style_50"/>
    <w:rPr>
      <w:rFonts w:ascii="XO Thames" w:hAnsi="XO Thames"/>
      <w:color w:val="000000"/>
      <w:spacing w:val="0"/>
      <w:sz w:val="28"/>
    </w:rPr>
  </w:style>
  <w:style w:styleId="Style_51" w:type="paragraph">
    <w:name w:val="Footer"/>
    <w:link w:val="Style_51_ch"/>
  </w:style>
  <w:style w:styleId="Style_51_ch" w:type="character">
    <w:name w:val="Footer"/>
    <w:link w:val="Style_51"/>
  </w:style>
  <w:style w:styleId="Style_52" w:type="paragraph">
    <w:name w:val="Subtitle"/>
    <w:next w:val="Style_3"/>
    <w:link w:val="Style_52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52_ch" w:type="character">
    <w:name w:val="Subtitle"/>
    <w:link w:val="Style_52"/>
    <w:rPr>
      <w:rFonts w:ascii="XO Thames" w:hAnsi="XO Thames"/>
      <w:i w:val="1"/>
      <w:color w:val="000000"/>
      <w:spacing w:val="0"/>
      <w:sz w:val="24"/>
    </w:rPr>
  </w:style>
  <w:style w:styleId="Style_53" w:type="paragraph">
    <w:name w:val="Contents 8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3_ch" w:type="character">
    <w:name w:val="Contents 8"/>
    <w:link w:val="Style_53"/>
    <w:rPr>
      <w:rFonts w:ascii="XO Thames" w:hAnsi="XO Thames"/>
      <w:color w:val="000000"/>
      <w:spacing w:val="0"/>
      <w:sz w:val="28"/>
    </w:rPr>
  </w:style>
  <w:style w:styleId="Style_54" w:type="paragraph">
    <w:name w:val="Contents 3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4_ch" w:type="character">
    <w:name w:val="Contents 3"/>
    <w:link w:val="Style_54"/>
    <w:rPr>
      <w:rFonts w:ascii="XO Thames" w:hAnsi="XO Thames"/>
      <w:color w:val="000000"/>
      <w:spacing w:val="0"/>
      <w:sz w:val="28"/>
    </w:rPr>
  </w:style>
  <w:style w:styleId="Style_55" w:type="paragraph">
    <w:name w:val="Title"/>
    <w:link w:val="Style_55_ch"/>
    <w:uiPriority w:val="10"/>
    <w:qFormat/>
    <w:rPr>
      <w:spacing w:val="-20"/>
      <w:sz w:val="36"/>
    </w:rPr>
  </w:style>
  <w:style w:styleId="Style_55_ch" w:type="character">
    <w:name w:val="Title"/>
    <w:link w:val="Style_55"/>
    <w:rPr>
      <w:spacing w:val="-20"/>
      <w:sz w:val="36"/>
    </w:rPr>
  </w:style>
  <w:style w:styleId="Style_56" w:type="paragraph">
    <w:name w:val="Символ концевой сноски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6_ch" w:type="character">
    <w:name w:val="Символ концевой сноски"/>
    <w:link w:val="Style_56"/>
    <w:rPr>
      <w:rFonts w:ascii="Times New Roman" w:hAnsi="Times New Roman"/>
      <w:color w:val="000000"/>
      <w:spacing w:val="0"/>
      <w:sz w:val="20"/>
    </w:rPr>
  </w:style>
  <w:style w:styleId="Style_57" w:type="paragraph">
    <w:name w:val="heading 4"/>
    <w:link w:val="Style_57_ch"/>
    <w:uiPriority w:val="9"/>
    <w:qFormat/>
    <w:pPr>
      <w:ind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7_ch" w:type="character">
    <w:name w:val="heading 4"/>
    <w:link w:val="Style_57"/>
    <w:rPr>
      <w:rFonts w:ascii="XO Thames" w:hAnsi="XO Thames"/>
      <w:b w:val="1"/>
      <w:color w:val="000000"/>
      <w:spacing w:val="0"/>
      <w:sz w:val="24"/>
    </w:rPr>
  </w:style>
  <w:style w:styleId="Style_58" w:type="paragraph">
    <w:name w:val="heading 2"/>
    <w:link w:val="Style_58_ch"/>
    <w:uiPriority w:val="9"/>
    <w:qFormat/>
    <w:pPr>
      <w:ind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8_ch" w:type="character">
    <w:name w:val="heading 2"/>
    <w:link w:val="Style_58"/>
    <w:rPr>
      <w:rFonts w:ascii="XO Thames" w:hAnsi="XO Thames"/>
      <w:b w:val="1"/>
      <w:color w:val="000000"/>
      <w:spacing w:val="0"/>
      <w:sz w:val="28"/>
    </w:rPr>
  </w:style>
  <w:style w:styleId="Style_59" w:type="paragraph">
    <w:name w:val="Footer"/>
    <w:basedOn w:val="Style_3"/>
    <w:link w:val="Style_59_ch"/>
    <w:pPr>
      <w:tabs>
        <w:tab w:leader="none" w:pos="709" w:val="clear"/>
        <w:tab w:leader="none" w:pos="4677" w:val="center"/>
        <w:tab w:leader="none" w:pos="9355" w:val="right"/>
      </w:tabs>
      <w:ind/>
    </w:pPr>
  </w:style>
  <w:style w:styleId="Style_59_ch" w:type="character">
    <w:name w:val="Footer"/>
    <w:basedOn w:val="Style_3_ch"/>
    <w:link w:val="Style_59"/>
  </w:style>
  <w:style w:styleId="Style_4" w:type="paragraph">
    <w:name w:val="Body Text"/>
    <w:basedOn w:val="Style_3"/>
    <w:link w:val="Style_4_ch"/>
  </w:style>
  <w:style w:styleId="Style_4_ch" w:type="character">
    <w:name w:val="Body Text"/>
    <w:basedOn w:val="Style_3_ch"/>
    <w:link w:val="Style_4"/>
  </w:style>
  <w:style w:styleId="Style_60" w:type="paragraph">
    <w:name w:val="Цитата1"/>
    <w:basedOn w:val="Style_3"/>
    <w:link w:val="Style_60_ch"/>
    <w:pPr>
      <w:widowControl w:val="0"/>
      <w:ind w:firstLine="0" w:left="720" w:right="400"/>
    </w:pPr>
    <w:rPr>
      <w:sz w:val="24"/>
    </w:rPr>
  </w:style>
  <w:style w:styleId="Style_60_ch" w:type="character">
    <w:name w:val="Цитата1"/>
    <w:basedOn w:val="Style_3_ch"/>
    <w:link w:val="Style_60"/>
    <w:rPr>
      <w:sz w:val="24"/>
    </w:rPr>
  </w:style>
  <w:style w:styleId="Style_61" w:type="paragraph">
    <w:name w:val="heading 5"/>
    <w:link w:val="Style_61_ch"/>
    <w:pPr>
      <w:ind/>
      <w:outlineLvl w:val="4"/>
    </w:pPr>
    <w:rPr>
      <w:rFonts w:ascii="XO Thames" w:hAnsi="XO Thames"/>
      <w:b w:val="1"/>
      <w:sz w:val="22"/>
    </w:rPr>
  </w:style>
  <w:style w:styleId="Style_61_ch" w:type="character">
    <w:name w:val="heading 5"/>
    <w:link w:val="Style_61"/>
    <w:rPr>
      <w:rFonts w:ascii="XO Thames" w:hAnsi="XO Thames"/>
      <w:b w:val="1"/>
      <w:sz w:val="22"/>
    </w:rPr>
  </w:style>
  <w:style w:default="1" w:styleId="Style_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3" Target="theme/theme1.xml" Type="http://schemas.openxmlformats.org/officeDocument/2006/relationships/theme"/>
  <Relationship Id="rId12" Target="webSettings.xml" Type="http://schemas.openxmlformats.org/officeDocument/2006/relationships/webSettings"/>
  <Relationship Id="rId10" Target="styles.xml" Type="http://schemas.openxmlformats.org/officeDocument/2006/relationships/style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fontTable.xml" Type="http://schemas.openxmlformats.org/officeDocument/2006/relationships/fontTable"/>
  <Relationship Id="rId4" Target="header4.xml" Type="http://schemas.openxmlformats.org/officeDocument/2006/relationships/header"/>
  <Relationship Id="rId11" Target="stylesWithEffects.xml" Type="http://schemas.microsoft.com/office/2007/relationships/stylesWithEffects"/>
  <Relationship Id="rId9" Target="settings.xml" Type="http://schemas.openxmlformats.org/officeDocument/2006/relationships/settings"/>
  <Relationship Id="rId7" Target="media/1.png" Type="http://schemas.openxmlformats.org/officeDocument/2006/relationships/imag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2024-06-03T14:45:23Z</dcterms:modified>
</cp:coreProperties>
</file>