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544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проведению торгов по продаже муниципального имущества г</w:t>
      </w:r>
      <w:r>
        <w:rPr>
          <w:rFonts w:ascii="Times New Roman" w:hAnsi="Times New Roman"/>
          <w:b w:val="1"/>
          <w:sz w:val="28"/>
        </w:rPr>
        <w:t xml:space="preserve">орода Ставрополя по подведению итогов продажи имущества посредством публичного предложения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>изве</w:t>
      </w:r>
      <w:r>
        <w:rPr>
          <w:rFonts w:ascii="Times New Roman" w:hAnsi="Times New Roman"/>
          <w:b w:val="1"/>
          <w:sz w:val="28"/>
        </w:rPr>
        <w:t xml:space="preserve">щение № </w:t>
      </w:r>
      <w:r>
        <w:rPr>
          <w:rFonts w:ascii="Times New Roman" w:hAnsi="Times New Roman"/>
          <w:b w:val="1"/>
          <w:sz w:val="28"/>
        </w:rPr>
        <w:t>21000004960000000099)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26 января 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12:40:26 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A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</w:t>
      </w:r>
      <w:r>
        <w:rPr>
          <w:rFonts w:ascii="Times New Roman" w:hAnsi="Times New Roman"/>
          <w:sz w:val="28"/>
        </w:rPr>
        <w:t>постановлением администрации города Ставрополя от 16.11.2023 № 2509 «Об условиях приватизации муниципального имущества города Ставрополя», постановлением администрации города Ставрополя                             от 07.12.2023 № 2667 «О внесении изменения в приложение к постановлению администрации города Ставрополя от 16.11.2023 № 2509 «Об условиях приватизации муниципального имущества  города Ставрополя»</w:t>
      </w:r>
      <w:r>
        <w:rPr>
          <w:sz w:val="28"/>
        </w:rPr>
        <w:t xml:space="preserve">, </w:t>
      </w:r>
      <w:r>
        <w:rPr>
          <w:sz w:val="28"/>
        </w:rPr>
        <w:t xml:space="preserve">подвела итоги продажи имущества, находящегося в муниципальной  собственности города Ставрополя Ставропольского края, посредством публичного предложения </w:t>
      </w:r>
      <w:r>
        <w:rPr>
          <w:sz w:val="28"/>
        </w:rPr>
        <w:t>в электронной форме</w:t>
      </w:r>
      <w:r>
        <w:rPr>
          <w:sz w:val="28"/>
        </w:rPr>
        <w:t xml:space="preserve">, </w:t>
      </w:r>
      <w:r>
        <w:rPr>
          <w:sz w:val="28"/>
        </w:rPr>
        <w:t>объявленного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26 января 2024</w:t>
      </w:r>
      <w:r>
        <w:rPr>
          <w:sz w:val="28"/>
        </w:rPr>
        <w:t xml:space="preserve"> года в  10 часов 00 минут на электронной площадке Единой электронной торговой  площадке (АО «ЕЭТП») по адресу: 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B000000">
      <w:pPr>
        <w:pStyle w:val="Style_3"/>
        <w:spacing w:line="240" w:lineRule="exact"/>
        <w:ind w:firstLine="720" w:left="0"/>
        <w:jc w:val="both"/>
        <w:rPr>
          <w:sz w:val="16"/>
        </w:rPr>
      </w:pPr>
    </w:p>
    <w:p w14:paraId="0C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1511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300" w:lineRule="exact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Холод </w:t>
            </w:r>
            <w:r>
              <w:rPr>
                <w:rFonts w:ascii="Times New Roman" w:hAnsi="Times New Roman"/>
                <w:sz w:val="28"/>
              </w:rPr>
              <w:t xml:space="preserve">Светлана Викторовна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300" w:lineRule="exact"/>
              <w:ind/>
              <w:jc w:val="both"/>
              <w:rPr>
                <w:sz w:val="28"/>
              </w:rPr>
            </w:pPr>
          </w:p>
          <w:p w14:paraId="12000000">
            <w:pPr>
              <w:spacing w:after="0" w:line="300" w:lineRule="exact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</w:t>
            </w:r>
          </w:p>
        </w:tc>
      </w:tr>
      <w:tr>
        <w:trPr>
          <w:trHeight w:hRule="atLeast" w:val="32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300" w:lineRule="exact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  <w:p w14:paraId="16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A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>комитета финансов и бюджета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261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rPr>
          <w:trHeight w:hRule="atLeast" w:val="1261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59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комитета по управлению муниципальным имуществом города Ставрополя </w:t>
            </w:r>
          </w:p>
        </w:tc>
      </w:tr>
    </w:tbl>
    <w:p w14:paraId="2C000000">
      <w:pPr>
        <w:pStyle w:val="Style_6"/>
        <w:spacing w:after="0" w:line="240" w:lineRule="auto"/>
        <w:ind/>
        <w:rPr>
          <w:rFonts w:ascii="Times New Roman" w:hAnsi="Times New Roman"/>
        </w:rPr>
      </w:pPr>
    </w:p>
    <w:p w14:paraId="2D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Ставрополя», в редакции распоряжения комитета по управлению муниципальным имуществом города Ставрополя от 19.01.2024 № 35.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             </w:t>
      </w:r>
      <w:r>
        <w:rPr>
          <w:rFonts w:ascii="Times New Roman" w:hAnsi="Times New Roman"/>
          <w:sz w:val="28"/>
        </w:rPr>
        <w:t>75,0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E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</w:t>
      </w:r>
      <w:r>
        <w:rPr>
          <w:rFonts w:ascii="Times New Roman" w:hAnsi="Times New Roman"/>
          <w:sz w:val="28"/>
        </w:rPr>
        <w:t>продажи посредством публичного предложения</w:t>
      </w:r>
      <w:r>
        <w:rPr>
          <w:rFonts w:ascii="Times New Roman" w:hAnsi="Times New Roman"/>
          <w:sz w:val="28"/>
        </w:rPr>
        <w:t xml:space="preserve"> было размещено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Российской Федерации для размещения информации о проведении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сайте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ставрополь.рф</w:t>
      </w:r>
      <w:r>
        <w:rPr>
          <w:rFonts w:ascii="Times New Roman" w:hAnsi="Times New Roman"/>
          <w:sz w:val="28"/>
        </w:rPr>
        <w:t xml:space="preserve">, опубликовано в газете «Вечерний Ставрополь»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194</w:t>
      </w:r>
      <w:r>
        <w:rPr>
          <w:rFonts w:ascii="Times New Roman" w:hAnsi="Times New Roman"/>
          <w:sz w:val="28"/>
        </w:rPr>
        <w:t xml:space="preserve"> (7696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на участие в электронн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прилагаемыми к ним документами принимались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09</w:t>
      </w:r>
      <w:r>
        <w:rPr>
          <w:rFonts w:ascii="Times New Roman" w:hAnsi="Times New Roman"/>
          <w:sz w:val="28"/>
        </w:rPr>
        <w:t xml:space="preserve">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</w:t>
      </w:r>
      <w:r>
        <w:rPr>
          <w:rFonts w:ascii="Times New Roman" w:hAnsi="Times New Roman"/>
          <w:sz w:val="28"/>
        </w:rPr>
        <w:t xml:space="preserve">. по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января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0000000">
      <w:pPr>
        <w:spacing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Лот № 1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Наименование: помещение, назначение: нежилое, помещения № 5, 6 площадью 20,7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  этаж:   подвал, кадастровый номер 26:12:030116:495,    по адресу:  Ставропольский  край, город  Ставрополь,  улица Артема/улица Ленина, 13/300. 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права: публичный сервитут для обеспечения прохода, доступа в помещения № 1 - 3 площадью 28,9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этаж: подвал, с кадастровым номером 26:12:030116:496 и  помещения                     № 4 – 7 площадью 31,6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с кадастровым номером 26:12:030116:497, по адресу: Ставропольский край, город Ставрополь, улица Артема/улица Ленина, 13/300.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 Наименование: помещение, назначение: нежилое, помещения № 1 - 3 площадью 28,9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этаж: подвал, кадастровый номер 26:12:030116:496,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b w:val="0"/>
          <w:sz w:val="28"/>
        </w:rPr>
        <w:t>     адресу:     Ставропольский    край,    город    Ставрополь, улица Артема/ улица Ленина, 13/300.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Существующие ограничения (обременения) права</w:t>
      </w:r>
      <w:r>
        <w:rPr>
          <w:rFonts w:ascii="Times New Roman" w:hAnsi="Times New Roman"/>
          <w:b w:val="0"/>
          <w:sz w:val="28"/>
        </w:rPr>
        <w:t xml:space="preserve"> – не зарегистрированы.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аукционы по продаже муниципального имущества, объявленные на 19.04.202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(извещение № 21000004960000000001), 15.07.2022 (извещение                                 № </w:t>
      </w:r>
      <w:r>
        <w:rPr>
          <w:rFonts w:ascii="Times New Roman" w:hAnsi="Times New Roman"/>
          <w:b w:val="0"/>
          <w:spacing w:val="-4"/>
          <w:sz w:val="28"/>
        </w:rPr>
        <w:t>21000004960000000019</w:t>
      </w:r>
      <w:r>
        <w:rPr>
          <w:rFonts w:ascii="Times New Roman" w:hAnsi="Times New Roman"/>
          <w:b w:val="0"/>
          <w:sz w:val="28"/>
        </w:rPr>
        <w:t xml:space="preserve">), </w:t>
      </w:r>
      <w:r>
        <w:rPr>
          <w:rFonts w:ascii="Times New Roman" w:hAnsi="Times New Roman"/>
          <w:b w:val="0"/>
          <w:color w:themeColor="text1" w:val="000000"/>
          <w:sz w:val="28"/>
        </w:rPr>
        <w:t>17.10.2023</w:t>
      </w:r>
      <w:r>
        <w:rPr>
          <w:rFonts w:ascii="Times New Roman" w:hAnsi="Times New Roman"/>
          <w:b w:val="0"/>
          <w:sz w:val="28"/>
        </w:rPr>
        <w:t xml:space="preserve"> (извещение</w:t>
      </w:r>
      <w:r>
        <w:rPr>
          <w:rFonts w:ascii="Times New Roman" w:hAnsi="Times New Roman"/>
          <w:b w:val="0"/>
          <w:spacing w:val="-2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21000004960000000086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pacing w:val="-20"/>
          <w:sz w:val="28"/>
        </w:rPr>
        <w:t xml:space="preserve"> п</w:t>
      </w:r>
      <w:r>
        <w:rPr>
          <w:rFonts w:ascii="Times New Roman" w:hAnsi="Times New Roman"/>
          <w:b w:val="0"/>
          <w:sz w:val="28"/>
        </w:rPr>
        <w:t>ризнаны несостоявшимися в связи с отсутствием заявок</w:t>
      </w:r>
      <w:r>
        <w:rPr>
          <w:rFonts w:ascii="Times New Roman" w:hAnsi="Times New Roman"/>
          <w:b w:val="0"/>
          <w:spacing w:val="-20"/>
          <w:sz w:val="28"/>
        </w:rPr>
        <w:t>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Цена первоначального предложения (начальная цен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а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продажи)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                 </w:t>
      </w:r>
      <w:r>
        <w:rPr>
          <w:rFonts w:ascii="Times New Roman" w:hAnsi="Times New Roman"/>
          <w:b w:val="0"/>
          <w:color w:themeColor="text1" w:val="000000"/>
          <w:sz w:val="28"/>
        </w:rPr>
        <w:t>(с учетом НДС 20 %):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933 </w:t>
      </w:r>
      <w:r>
        <w:rPr>
          <w:rFonts w:ascii="Times New Roman" w:hAnsi="Times New Roman"/>
          <w:b w:val="0"/>
          <w:sz w:val="28"/>
        </w:rPr>
        <w:t xml:space="preserve">000 (Девятьсот тридцать три тысячи) рублей                  00 копеек. 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</w:t>
      </w:r>
      <w:r>
        <w:rPr>
          <w:rFonts w:ascii="Times New Roman" w:hAnsi="Times New Roman"/>
          <w:b w:val="0"/>
          <w:sz w:val="28"/>
        </w:rPr>
        <w:t xml:space="preserve"> 93 300 (Девяносто три тысячи триста) рублей                               00 копеек.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46 650 (Сорок шесть тысяч шестьсот пятьдесят) рублей                       00 копеек.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466 500 (Четыреста шестьдесят шесть тысяч пятьсот) рублей 00 копеек.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b w:val="0"/>
          <w:sz w:val="28"/>
        </w:rPr>
        <w:t xml:space="preserve"> 23 325 (Двадцать три тысячи триста двадцать пять)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рублей 00 копеек.</w:t>
      </w:r>
    </w:p>
    <w:p w14:paraId="3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7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К участию в </w:t>
      </w:r>
      <w:r>
        <w:rPr>
          <w:rFonts w:ascii="Times New Roman" w:hAnsi="Times New Roman"/>
          <w:sz w:val="28"/>
        </w:rPr>
        <w:t>продаже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b w:val="1"/>
          <w:color w:val="000000"/>
          <w:sz w:val="28"/>
        </w:rPr>
        <w:t>лоту № 1</w:t>
      </w:r>
      <w:r>
        <w:rPr>
          <w:sz w:val="28"/>
        </w:rPr>
        <w:t xml:space="preserve"> были допущены с</w:t>
      </w:r>
      <w:r>
        <w:rPr>
          <w:sz w:val="28"/>
        </w:rPr>
        <w:t>ледующие участники</w:t>
      </w:r>
      <w:r>
        <w:rPr>
          <w:sz w:val="28"/>
        </w:rPr>
        <w:t>:</w:t>
      </w:r>
    </w:p>
    <w:p w14:paraId="3D000000">
      <w:pPr>
        <w:widowControl w:val="0"/>
        <w:spacing w:after="0" w:before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55"/>
        <w:gridCol w:w="6957"/>
      </w:tblGrid>
      <w:tr>
        <w:trPr>
          <w:trHeight w:hRule="atLeast" w:val="757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00000">
            <w:pPr>
              <w:widowControl w:val="0"/>
              <w:spacing w:after="0" w:line="240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Порядковый номер заявки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00000">
            <w:pPr>
              <w:widowControl w:val="0"/>
              <w:spacing w:after="0" w:line="240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участника</w:t>
            </w:r>
          </w:p>
        </w:tc>
      </w:tr>
      <w:tr>
        <w:trPr>
          <w:trHeight w:hRule="atLeast" w:val="448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0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458814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1000000">
            <w:pPr>
              <w:widowControl w:val="0"/>
              <w:spacing w:after="0" w:line="240" w:lineRule="exact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Цыганов Владимир Юрьевич </w:t>
            </w:r>
          </w:p>
        </w:tc>
      </w:tr>
      <w:tr>
        <w:trPr>
          <w:trHeight w:hRule="atLeast" w:val="478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2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953348 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3000000">
            <w:pPr>
              <w:widowControl w:val="0"/>
              <w:spacing w:after="0" w:line="240" w:lineRule="exact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Мясоедова Галина Михайловна </w:t>
            </w:r>
          </w:p>
        </w:tc>
      </w:tr>
    </w:tbl>
    <w:p w14:paraId="4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 Победителем продажи имущества посредством публичного предложения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лоту № 1 признан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Цыганов Владимир Юрьевич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преложивший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466 500,00 (Четыреста шестьдесят шесть тысяч пятьсот) </w:t>
      </w:r>
      <w:r>
        <w:rPr>
          <w:rFonts w:ascii="Times New Roman" w:hAnsi="Times New Roman"/>
          <w:b w:val="1"/>
          <w:sz w:val="28"/>
        </w:rPr>
        <w:t xml:space="preserve">рублей 00 копеек </w:t>
      </w:r>
      <w:r>
        <w:rPr>
          <w:rFonts w:ascii="Times New Roman" w:hAnsi="Times New Roman"/>
          <w:b w:val="1"/>
          <w:sz w:val="28"/>
        </w:rPr>
        <w:t>с учетом НДС 20%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Предпоследнее предложение отсутс</w:t>
      </w:r>
      <w:r>
        <w:rPr>
          <w:rFonts w:ascii="Times New Roman" w:hAnsi="Times New Roman"/>
          <w:b w:val="0"/>
          <w:sz w:val="28"/>
        </w:rPr>
        <w:t xml:space="preserve">твует. </w:t>
      </w:r>
    </w:p>
    <w:p w14:paraId="47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Протокол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является документом, удостоверяющим право победителя на заключение договора купли-продажи.</w:t>
      </w:r>
    </w:p>
    <w:p w14:paraId="48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 В течение пяти рабочих дней с даты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с победителем  заключается договор купли-продажи имущества.</w:t>
      </w:r>
    </w:p>
    <w:p w14:paraId="49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продажи имущества посредством публичного предложения от заключения в установленный срок договора купли-продажи, результаты продажи имущества посредством публичного предложения аннулируются организатором торгов. При этом победитель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A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продажи имущества посредством  публичного предложения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</w:t>
            </w:r>
          </w:p>
          <w:p w14:paraId="4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5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Т.М.  Амелина ________________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6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</w:t>
            </w:r>
          </w:p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C000000">
            <w:pPr>
              <w:spacing w:line="240" w:lineRule="auto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Ю.В. Айрапетян __________________</w:t>
            </w:r>
          </w:p>
          <w:p w14:paraId="5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E000000"/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134" w:footer="720" w:gutter="0" w:header="720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7" w:type="paragraph">
    <w:name w:val="western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western"/>
    <w:basedOn w:val="Style_6_ch"/>
    <w:link w:val="Style_7"/>
    <w:rPr>
      <w:rFonts w:ascii="Times New Roman" w:hAnsi="Times New Roman"/>
      <w:sz w:val="24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6_ch"/>
    <w:link w:val="Style_2"/>
    <w:rPr>
      <w:rFonts w:ascii="Times New Roman" w:hAnsi="Times New Roman"/>
      <w:sz w:val="28"/>
    </w:rPr>
  </w:style>
  <w:style w:styleId="Style_25" w:type="paragraph">
    <w:name w:val="Plain Text"/>
    <w:basedOn w:val="Style_6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6_ch"/>
    <w:link w:val="Style_25"/>
    <w:rPr>
      <w:rFonts w:ascii="Calibri" w:hAnsi="Calibri"/>
    </w:rPr>
  </w:style>
  <w:style w:styleId="Style_26" w:type="paragraph">
    <w:name w:val="List Paragraph"/>
    <w:basedOn w:val="Style_6"/>
    <w:link w:val="Style_26_ch"/>
    <w:pPr>
      <w:ind w:firstLine="0"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6_ch"/>
    <w:link w:val="Style_27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Body Text"/>
    <w:basedOn w:val="Style_6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2024-02-22T09:34:54Z</dcterms:modified>
</cp:coreProperties>
</file>