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28"/>
          <w:szCs w:val="28"/>
        </w:rPr>
      </w:pPr>
      <w:r>
        <w:rPr>
          <w:rFonts w:ascii="Times New Roman" w:hAnsi="Times New Roman" w:cs="Times New Roman" w:eastAsia="Arial Unicode MS"/>
          <w:spacing w:val="3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28"/>
          <w:szCs w:val="28"/>
        </w:rPr>
      </w:pPr>
      <w:r>
        <w:rPr>
          <w:rFonts w:ascii="Times New Roman" w:hAnsi="Times New Roman" w:cs="Times New Roman" w:eastAsia="Arial Unicode MS"/>
          <w:spacing w:val="30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изменений в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постановление администрации города Ставрополя </w:t>
        <w:br/>
        <w:t xml:space="preserve">от 28.01.2019 № 154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ва»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в соответствии с протестом</w:t>
      </w:r>
      <w:r>
        <w:rPr>
          <w:rFonts w:ascii="Times New Roman" w:hAnsi="Times New Roman"/>
          <w:sz w:val="28"/>
          <w:szCs w:val="28"/>
        </w:rPr>
        <w:t xml:space="preserve"> прокурора города Ставрополя от 14.11.2022</w:t>
      </w:r>
      <w:r>
        <w:rPr>
          <w:rFonts w:ascii="Times New Roman" w:hAnsi="Times New Roman"/>
          <w:sz w:val="28"/>
          <w:szCs w:val="28"/>
        </w:rPr>
        <w:t xml:space="preserve"> № /Прдп-28-22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ПОСТАНОВЛЯЮ: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</w:pP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Calibri" w:eastAsia="Calibri"/>
          <w:sz w:val="28"/>
          <w:szCs w:val="28"/>
          <w:highlight w:val="white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постановление администрации города Ставрополя от 28.01.2019 № 154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br/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ва»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</w:pPr>
      <w:r>
        <w:rPr>
          <w:rFonts w:ascii="Times New Roman" w:hAnsi="Times New Roman" w:cs="Times New Roman" w:eastAsia="Calibri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Разместить настоящее постановление на официальном сайте администрации города Ставро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поля в информационно-телекоммуникационной сети «Интернет».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первого заместителя главы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Грибенника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И.И. Ульянченко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постановлением администрации города Ставрополя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   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№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ИЗМЕНЕНИЯ,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которые вносятся в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постановление администрации города Ставрополя </w:t>
        <w:br/>
        <w:t xml:space="preserve">от 28.01.2019 № 154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ва»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 В преамбуле постановления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администрации города Ставрополя </w:t>
        <w:br/>
        <w:t xml:space="preserve">от 28.01.2019 № 154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ва»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(далее – постановление) слова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26.06.2013 </w:t>
        <w:br/>
        <w:t xml:space="preserve">№ 2103 «О Порядке разработки и утверждения административных регламентов предоставления муниципальных услуг» заменить словами </w:t>
        <w:br/>
        <w:t xml:space="preserve">«11.01.2023 № 25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2. В приложении «Административный регламент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ва» (далее – Административный регламент), к постановлению: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разделе 1 «Общие положения»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подпункте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6 пун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кта 6 слова «(функций)», «(исполняемых)» исключить;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2) в разделе 2 «Стандарт предоставления муниципальной услуги»: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а) подпункт 5 пункта 10 изложить в следующей редакции: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«5) с филиалом публично-правовой компании «Роскадастр» по Ставропольскому краю (далее – Филиал ППК «Роскадастр» по СК).»;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подпункт 5 пункта 14 признать утратившим силу;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в) пункт 15 дополнить абзацем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Доверенность, подтверждающая правомочие на обращение за получением му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г) в пункте 16 слова «Филиал ФГБУ «ФКП Росреестра» по СК» заменить словами «Филиал ППК «Роскадастр» по СК»;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д) в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 17: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абзаце первом слова «1, 2 и 4» заменить словами «1, 2, 4 и 5»;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дополнить подпунктом 4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0"/>
            <w:rFonts w:ascii="Times New Roman" w:hAnsi="Times New Roman" w:cs="Times New Roman" w:eastAsia="Calibri"/>
            <w:color w:val="auto"/>
            <w:sz w:val="28"/>
            <w:szCs w:val="28"/>
            <w:highlight w:val="none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е) дополнить подразделом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ind w:firstLine="709"/>
        <w:jc w:val="center"/>
        <w:spacing w:after="0" w:line="238" w:lineRule="exact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«Случаи и порядок предоставления муниципальной услуги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упреждающем (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 режиме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38" w:lineRule="exact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17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 Случаи и порядок предоставления муниципальной услуги в упреждающем (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3) в разделе 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Состав, последовательность и сроки выполнения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административных процедур (действий), требования к порядку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их выполнения, в том числе особенности выполнения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административных процедур (действий) в электронной форме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» пункт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40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из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ложить в следующей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«40.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 При поступлении в Комитет заявления о предоставлении муницип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отдела </w:t>
        <w:br/>
        <w:t xml:space="preserve">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 проводит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время, выходные или праздничные дни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 после проведения проверки действительности усиленной квалифицированн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осуществляет 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аспечатку заявления и документов, 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ичную подпись, расшифровку подписи и дату </w:t>
        <w:br/>
        <w:t xml:space="preserve">(в случае отсутствия основания для отказа в приеме заявления о предоставлении муниципальной услуги и документов, необходимых для предоставления муниципальной услуги, указанного в пункте 18 Административного реглам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а); </w:t>
      </w:r>
      <w:r>
        <w:rPr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регистри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рует заявление о предоставлении муниципальной услуги и документов, необходимых для предоставления муниципальной услуги,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посредством внесения данных в информационную систему, указанную в пункте 24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в день их распечатки;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в день проведения проверки осуществляет подготовку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уведомление об отказе в приеме заявления и документов), при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указанного в пункте 18 Административного регламента, по форме, приведен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й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приложении 5 к Административному регламенту, с указанием причин, указанных в статье 11 Федерального закона от 06 апреля 2011 г. № 63-ФЗ «Об электронной подписи», и направляет проект уведомления об отказе в приеме документов на визирование заведующему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отделом территориального планирования и градостроительного зонирования территории управления архитектуры Комитета. 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Заведующий отделом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 день поступления проекта уведомления об отказе в приеме заявления и документов визирует указанный проект уведомления и направляет на подписани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 заместителю главы администрации города Ставрополя, руководителю Комитета.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меститель главы администрации города Ставрополя, руководитель Комитета подписывает проект уведомления об отказе в приеме заявления и документов в течение 1 дня со дня его поступления и направляет указанное уведомление на регистрацию в общий отдел Комитета.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общего отдела Комитета в день поступления уведомления об отказе в приеме заявления и документов регистрирует его и направляет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отдел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отдела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 день поступления уведомления об отказе в приеме заявления и документов подписывает данное уведомление электронной подписью заместителя главы ад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министрации города Ставрополя, руководителя Комитета и направляет указанное уведомление, подписанное электронной подписью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заместителя главы ад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министрации города Ставрополя, руководителя Комитета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личный кабинет заявителя на Едином портале, на Портале государственных и муниципальных услуг Ставропольского края. После получения увед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омления об отказе в приеме заявления и документов,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 при первичном обращении.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Ответственность за подготовку уведомления об отказе в приеме документов несет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заведующий отделом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Приложение 3 «В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ходные формы документов (заявления), используемые при предоставлении муниципальной услуги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 к Административному регламенту изложить в новой редакции согласно приложению.</w:t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изменениям, которые вносятся в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постановление администрации города Ставрополя от 28.01.2019 № 154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ва»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              №                                  </w:t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«Приложение 3</w:t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предоставлению муниципальной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услуги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Предоставление разрешения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отклонение от предельных параметров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разрешенного строительства, реконструкции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объе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ктов капитального строительства»</w:t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1</w:t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(для юридических лиц)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1213"/>
        <w:gridCol w:w="1701"/>
        <w:gridCol w:w="978"/>
        <w:gridCol w:w="4755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Комиссия по землепользованию и застройке города Ставрополя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Сведения о заявителе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дата государственной регистрации: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ведения, подтверждающие наличие у земельного участка характеристик, неблагоприятных для застройки (заполняется в случае подачи заявления о предоставлении муниципальной услуги правообладателем (правообладателями) земельного участка, размеры которого меньше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>
              <w:rPr>
                <w:rStyle w:val="960"/>
                <w:rFonts w:ascii="Times New Roman" w:hAnsi="Times New Roman" w:cs="Times New Roman" w:eastAsia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vAlign w:val="bottom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Предполагаемые параметры отклонения от предельных параметров разрешенного строительства, реконструкции объектов капитального строительства (отдельно по каждому параметру)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Местоположение и площадь земельного участка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 земельном участке расположены объекты капитального строительства с кадастровыми (условными) номерами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Сведения о представителе заявителя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реквизиты документа, удостоверяющего полномочия представителя заявителя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Информация для связи с заявителем или его представителем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Способ получения результата предоставления муниципальной услуги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ненужное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зачеркнуть)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 в форме электронного документа по адресу электронной почты: 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случае обращения за предоставлением муниципальной услуги в многофункциональный центр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ненужное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зачеркнуть)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 на бумажном носителе в многофункциональном центре;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 в форме электронного документа по адресу электронной почты: 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ненужное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зачеркнуть)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_________________________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(подпись)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(инициалы, фамилия)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Своей подписью подтверждаю согласие на обработку персональных данных для це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лей, предусмотренных настоящим 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дминистративным регламентом.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jc w:val="righ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Форма 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5103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(для физических лиц)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988"/>
        <w:gridCol w:w="1661"/>
        <w:gridCol w:w="1490"/>
        <w:gridCol w:w="454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6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Комиссия по землепользованию и застройке города Ставрополя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Сведения о заявителе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Сведения, подтверждающие наличие у земельного участка характеристик, неблагоприятных для застройки (заполняется в случае подачи заявления о предоставлении муниципальной услуги правообладате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лем (правообладателями)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>
              <w:rPr>
                <w:rStyle w:val="960"/>
                <w:rFonts w:ascii="Times New Roman" w:hAnsi="Times New Roman" w:cs="Times New Roman" w:eastAsia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vAlign w:val="bottom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Предполагаемые параметры отклонения от предельных параметров разрешенного строительства, реконструкции объектов капитального строительства (отдельно по каждому параметру)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Местоположение и площадь земельного участка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 земельном участке расположены объекты капитального строительства с кадастровыми (условными) номерами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Сведения о представителе заявителя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реквизиты документа, удостоверяющего полномочия представителя заявителя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Информация для связи с заявителем или его представителем: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Способ получения результата предоставления муниципальной услуги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ненужное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зачеркнуть)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 в форме электронного документа по адресу электронной почты: ____________________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случае обращения за предоставлением муниципальной услуги в многофункциональный центр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ненужное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зачеркнуть)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 на бумажном носителе в многофункциональном центре;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 в форме электронного документа по адресу электронной почты: ___________________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9.1.3.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ненужное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зачеркнуть)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________________________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(подпись)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(инициалы, фамилия)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Своей подписью подтверждаю согласие на обработку персональных данных для це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лей, предусмотренных настоящим 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дминистративным регламентом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58"/>
      </w:pPr>
      <w:r>
        <w:rPr>
          <w:rStyle w:val="960"/>
          <w:rFonts w:ascii="Symbol" w:hAnsi="Symbol" w:cs="Symbol" w:eastAsia="Symbol"/>
        </w:rPr>
        <w:t xml:space="preserve">1</w:t>
      </w:r>
      <w:r>
        <w:t xml:space="preserve"> </w:t>
      </w:r>
      <w:r>
        <w:rPr>
          <w:rFonts w:ascii="Times New Roman" w:hAnsi="Times New Roman" w:cs="Times New Roman"/>
        </w:rPr>
        <w:t xml:space="preserve">Сведения могут быть представлены в виде заключения, информационных и иных материалов, содержащих описание характеристик земельного участка, неблагоприятных для застройки</w:t>
      </w:r>
      <w:r/>
      <w:r/>
    </w:p>
  </w:footnote>
  <w:footnote w:id="3">
    <w:p>
      <w:pPr>
        <w:pStyle w:val="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</w:t>
      </w:r>
      <w:r>
        <w:rPr>
          <w:rFonts w:ascii="Times New Roman" w:hAnsi="Times New Roman" w:cs="Times New Roman"/>
        </w:rPr>
        <w:t xml:space="preserve"> Сведения могут быть представлены в виде заключения, информационных и иных материалов, содержащих описание характеристик земельного участка, неблагоприятных для застройки </w:t>
      </w:r>
      <w:r>
        <w:rPr>
          <w:rFonts w:ascii="Times New Roman" w:hAnsi="Times New Roman" w:cs="Times New Roman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/>
    <w:r/>
  </w:p>
  <w:p>
    <w:pPr>
      <w:pStyle w:val="93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0"/>
    <w:link w:val="918"/>
    <w:uiPriority w:val="9"/>
    <w:rPr>
      <w:rFonts w:ascii="Arial" w:hAnsi="Arial" w:cs="Arial" w:eastAsia="Arial"/>
      <w:sz w:val="40"/>
      <w:szCs w:val="40"/>
    </w:rPr>
  </w:style>
  <w:style w:type="paragraph" w:styleId="751">
    <w:name w:val="Heading 2"/>
    <w:basedOn w:val="917"/>
    <w:next w:val="917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2">
    <w:name w:val="Heading 2 Char"/>
    <w:basedOn w:val="920"/>
    <w:link w:val="751"/>
    <w:uiPriority w:val="9"/>
    <w:rPr>
      <w:rFonts w:ascii="Arial" w:hAnsi="Arial" w:cs="Arial" w:eastAsia="Arial"/>
      <w:sz w:val="34"/>
    </w:rPr>
  </w:style>
  <w:style w:type="character" w:styleId="753">
    <w:name w:val="Heading 3 Char"/>
    <w:basedOn w:val="920"/>
    <w:link w:val="919"/>
    <w:uiPriority w:val="9"/>
    <w:rPr>
      <w:rFonts w:ascii="Arial" w:hAnsi="Arial" w:cs="Arial" w:eastAsia="Arial"/>
      <w:sz w:val="30"/>
      <w:szCs w:val="30"/>
    </w:rPr>
  </w:style>
  <w:style w:type="paragraph" w:styleId="754">
    <w:name w:val="Heading 4"/>
    <w:basedOn w:val="917"/>
    <w:next w:val="917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5">
    <w:name w:val="Heading 4 Char"/>
    <w:basedOn w:val="920"/>
    <w:link w:val="754"/>
    <w:uiPriority w:val="9"/>
    <w:rPr>
      <w:rFonts w:ascii="Arial" w:hAnsi="Arial" w:cs="Arial" w:eastAsia="Arial"/>
      <w:b/>
      <w:bCs/>
      <w:sz w:val="26"/>
      <w:szCs w:val="26"/>
    </w:rPr>
  </w:style>
  <w:style w:type="paragraph" w:styleId="756">
    <w:name w:val="Heading 5"/>
    <w:basedOn w:val="917"/>
    <w:next w:val="917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7">
    <w:name w:val="Heading 5 Char"/>
    <w:basedOn w:val="920"/>
    <w:link w:val="756"/>
    <w:uiPriority w:val="9"/>
    <w:rPr>
      <w:rFonts w:ascii="Arial" w:hAnsi="Arial" w:cs="Arial" w:eastAsia="Arial"/>
      <w:b/>
      <w:bCs/>
      <w:sz w:val="24"/>
      <w:szCs w:val="24"/>
    </w:rPr>
  </w:style>
  <w:style w:type="paragraph" w:styleId="758">
    <w:name w:val="Heading 6"/>
    <w:basedOn w:val="917"/>
    <w:next w:val="91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9">
    <w:name w:val="Heading 6 Char"/>
    <w:basedOn w:val="920"/>
    <w:link w:val="758"/>
    <w:uiPriority w:val="9"/>
    <w:rPr>
      <w:rFonts w:ascii="Arial" w:hAnsi="Arial" w:cs="Arial" w:eastAsia="Arial"/>
      <w:b/>
      <w:bCs/>
      <w:sz w:val="22"/>
      <w:szCs w:val="22"/>
    </w:rPr>
  </w:style>
  <w:style w:type="paragraph" w:styleId="760">
    <w:name w:val="Heading 7"/>
    <w:basedOn w:val="917"/>
    <w:next w:val="917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7 Char"/>
    <w:basedOn w:val="920"/>
    <w:link w:val="7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2">
    <w:name w:val="Heading 8"/>
    <w:basedOn w:val="917"/>
    <w:next w:val="917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3">
    <w:name w:val="Heading 8 Char"/>
    <w:basedOn w:val="920"/>
    <w:link w:val="762"/>
    <w:uiPriority w:val="9"/>
    <w:rPr>
      <w:rFonts w:ascii="Arial" w:hAnsi="Arial" w:cs="Arial" w:eastAsia="Arial"/>
      <w:i/>
      <w:iCs/>
      <w:sz w:val="22"/>
      <w:szCs w:val="22"/>
    </w:rPr>
  </w:style>
  <w:style w:type="paragraph" w:styleId="764">
    <w:name w:val="Heading 9"/>
    <w:basedOn w:val="917"/>
    <w:next w:val="917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5">
    <w:name w:val="Heading 9 Char"/>
    <w:basedOn w:val="920"/>
    <w:link w:val="764"/>
    <w:uiPriority w:val="9"/>
    <w:rPr>
      <w:rFonts w:ascii="Arial" w:hAnsi="Arial" w:cs="Arial" w:eastAsia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character" w:styleId="767">
    <w:name w:val="Title Char"/>
    <w:basedOn w:val="920"/>
    <w:link w:val="953"/>
    <w:uiPriority w:val="10"/>
    <w:rPr>
      <w:sz w:val="48"/>
      <w:szCs w:val="48"/>
    </w:rPr>
  </w:style>
  <w:style w:type="character" w:styleId="768">
    <w:name w:val="Subtitle Char"/>
    <w:basedOn w:val="920"/>
    <w:link w:val="950"/>
    <w:uiPriority w:val="11"/>
    <w:rPr>
      <w:sz w:val="24"/>
      <w:szCs w:val="24"/>
    </w:rPr>
  </w:style>
  <w:style w:type="paragraph" w:styleId="769">
    <w:name w:val="Quote"/>
    <w:basedOn w:val="917"/>
    <w:next w:val="917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7"/>
    <w:next w:val="917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0"/>
    <w:link w:val="934"/>
    <w:uiPriority w:val="99"/>
  </w:style>
  <w:style w:type="character" w:styleId="774">
    <w:name w:val="Footer Char"/>
    <w:basedOn w:val="920"/>
    <w:link w:val="945"/>
    <w:uiPriority w:val="99"/>
  </w:style>
  <w:style w:type="paragraph" w:styleId="775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45"/>
    <w:uiPriority w:val="99"/>
  </w:style>
  <w:style w:type="table" w:styleId="777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Footnote Text Char"/>
    <w:link w:val="958"/>
    <w:uiPriority w:val="99"/>
    <w:rPr>
      <w:sz w:val="18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20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qFormat/>
  </w:style>
  <w:style w:type="paragraph" w:styleId="918">
    <w:name w:val="Heading 1"/>
    <w:basedOn w:val="917"/>
    <w:next w:val="917"/>
    <w:link w:val="955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19">
    <w:name w:val="Heading 3"/>
    <w:basedOn w:val="917"/>
    <w:next w:val="917"/>
    <w:link w:val="95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0" w:default="1">
    <w:name w:val="Default Paragraph Font"/>
    <w:uiPriority w:val="1"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numbering" w:styleId="923" w:customStyle="1">
    <w:name w:val="Нет списка1"/>
    <w:next w:val="922"/>
    <w:uiPriority w:val="99"/>
    <w:semiHidden/>
    <w:unhideWhenUsed/>
  </w:style>
  <w:style w:type="numbering" w:styleId="924" w:customStyle="1">
    <w:name w:val="Нет списка11"/>
    <w:next w:val="922"/>
    <w:semiHidden/>
    <w:unhideWhenUsed/>
  </w:style>
  <w:style w:type="table" w:styleId="925">
    <w:name w:val="Table Grid"/>
    <w:basedOn w:val="921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6">
    <w:name w:val="Body Text Indent"/>
    <w:basedOn w:val="917"/>
    <w:link w:val="927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27" w:customStyle="1">
    <w:name w:val="Основной текст с отступом Знак"/>
    <w:basedOn w:val="920"/>
    <w:link w:val="926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28">
    <w:name w:val="Body Text"/>
    <w:basedOn w:val="917"/>
    <w:link w:val="929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29" w:customStyle="1">
    <w:name w:val="Основной текст Знак"/>
    <w:basedOn w:val="920"/>
    <w:link w:val="928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0">
    <w:name w:val="Body Text 2"/>
    <w:basedOn w:val="917"/>
    <w:link w:val="931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1" w:customStyle="1">
    <w:name w:val="Основной текст 2 Знак"/>
    <w:basedOn w:val="920"/>
    <w:link w:val="93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2">
    <w:name w:val="Balloon Text"/>
    <w:basedOn w:val="917"/>
    <w:link w:val="933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3" w:customStyle="1">
    <w:name w:val="Текст выноски Знак"/>
    <w:basedOn w:val="920"/>
    <w:link w:val="932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4">
    <w:name w:val="Header"/>
    <w:basedOn w:val="917"/>
    <w:link w:val="93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Верхний колонтитул Знак"/>
    <w:basedOn w:val="920"/>
    <w:link w:val="934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36">
    <w:name w:val="page number"/>
    <w:basedOn w:val="920"/>
  </w:style>
  <w:style w:type="paragraph" w:styleId="937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38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39" w:customStyle="1">
    <w:name w:val="wikip"/>
    <w:basedOn w:val="917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0">
    <w:name w:val="Hyperlink"/>
    <w:rPr>
      <w:color w:val="0000FF"/>
      <w:u w:val="single"/>
    </w:rPr>
  </w:style>
  <w:style w:type="paragraph" w:styleId="941">
    <w:name w:val="Normal (Web)"/>
    <w:basedOn w:val="917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2" w:customStyle="1">
    <w:name w:val="apple-style-span"/>
    <w:rPr>
      <w:rFonts w:cs="Times New Roman"/>
    </w:rPr>
  </w:style>
  <w:style w:type="paragraph" w:styleId="943" w:customStyle="1">
    <w:name w:val="1.25"/>
    <w:basedOn w:val="917"/>
    <w:link w:val="944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4" w:customStyle="1">
    <w:name w:val="1.25 Знак"/>
    <w:link w:val="943"/>
    <w:rPr>
      <w:rFonts w:ascii="Times New Roman" w:hAnsi="Times New Roman" w:cs="Times New Roman" w:eastAsia="Times New Roman"/>
      <w:sz w:val="28"/>
      <w:szCs w:val="28"/>
    </w:rPr>
  </w:style>
  <w:style w:type="paragraph" w:styleId="945">
    <w:name w:val="Footer"/>
    <w:basedOn w:val="917"/>
    <w:link w:val="94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46" w:customStyle="1">
    <w:name w:val="Нижний колонтитул Знак"/>
    <w:basedOn w:val="920"/>
    <w:link w:val="945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47" w:customStyle="1">
    <w:name w:val="Нет списка2"/>
    <w:next w:val="922"/>
    <w:uiPriority w:val="99"/>
    <w:semiHidden/>
    <w:unhideWhenUsed/>
  </w:style>
  <w:style w:type="character" w:styleId="948">
    <w:name w:val="FollowedHyperlink"/>
    <w:uiPriority w:val="99"/>
    <w:semiHidden/>
    <w:unhideWhenUsed/>
    <w:rPr>
      <w:color w:val="800080"/>
      <w:u w:val="single"/>
    </w:rPr>
  </w:style>
  <w:style w:type="table" w:styleId="949" w:customStyle="1">
    <w:name w:val="Сетка таблицы1"/>
    <w:basedOn w:val="921"/>
    <w:next w:val="925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0">
    <w:name w:val="Subtitle"/>
    <w:basedOn w:val="917"/>
    <w:next w:val="917"/>
    <w:link w:val="951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1" w:customStyle="1">
    <w:name w:val="Подзаголовок Знак"/>
    <w:basedOn w:val="920"/>
    <w:link w:val="950"/>
    <w:rPr>
      <w:rFonts w:ascii="Cambria" w:hAnsi="Cambria" w:cs="Times New Roman" w:eastAsia="Times New Roman"/>
      <w:sz w:val="24"/>
      <w:szCs w:val="24"/>
    </w:rPr>
  </w:style>
  <w:style w:type="paragraph" w:styleId="952">
    <w:name w:val="List Paragraph"/>
    <w:basedOn w:val="917"/>
    <w:uiPriority w:val="34"/>
    <w:qFormat/>
    <w:pPr>
      <w:contextualSpacing/>
      <w:ind w:left="720"/>
    </w:pPr>
  </w:style>
  <w:style w:type="paragraph" w:styleId="953">
    <w:name w:val="Title"/>
    <w:basedOn w:val="917"/>
    <w:link w:val="954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4" w:customStyle="1">
    <w:name w:val="Название Знак"/>
    <w:basedOn w:val="920"/>
    <w:link w:val="953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5" w:customStyle="1">
    <w:name w:val="Заголовок 1 Знак"/>
    <w:basedOn w:val="920"/>
    <w:link w:val="918"/>
    <w:rPr>
      <w:rFonts w:ascii="Times New Roman" w:hAnsi="Times New Roman" w:cs="Times New Roman" w:eastAsia="Times New Roman"/>
      <w:sz w:val="28"/>
      <w:szCs w:val="24"/>
    </w:rPr>
  </w:style>
  <w:style w:type="character" w:styleId="956" w:customStyle="1">
    <w:name w:val="Заголовок 3 Знак"/>
    <w:basedOn w:val="920"/>
    <w:link w:val="919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7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  <w:style w:type="paragraph" w:styleId="958">
    <w:name w:val="footnote text"/>
    <w:basedOn w:val="917"/>
    <w:link w:val="95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59" w:customStyle="1">
    <w:name w:val="Текст сноски Знак"/>
    <w:basedOn w:val="920"/>
    <w:link w:val="958"/>
    <w:uiPriority w:val="99"/>
    <w:semiHidden/>
    <w:rPr>
      <w:sz w:val="20"/>
      <w:szCs w:val="20"/>
    </w:rPr>
  </w:style>
  <w:style w:type="character" w:styleId="960">
    <w:name w:val="footnote reference"/>
    <w:basedOn w:val="92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C50181F-F731-4378-9B30-1A1E877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9</cp:revision>
  <dcterms:created xsi:type="dcterms:W3CDTF">2022-12-01T07:28:00Z</dcterms:created>
  <dcterms:modified xsi:type="dcterms:W3CDTF">2023-03-17T08:06:07Z</dcterms:modified>
</cp:coreProperties>
</file>