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92"/>
        <w:gridCol w:w="2393"/>
        <w:gridCol w:w="3261"/>
        <w:gridCol w:w="1524"/>
      </w:tblGrid>
      <w:tr>
        <w:trPr/>
        <w:tc>
          <w:tcPr>
            <w:gridSpan w:val="4"/>
            <w:tcW w:w="9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Комитет градостроительства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администрации города Ставрополя</w:t>
            </w:r>
            <w:r/>
          </w:p>
        </w:tc>
      </w:tr>
      <w:tr>
        <w:trPr/>
        <w:tc>
          <w:tcPr>
            <w:gridSpan w:val="4"/>
            <w:tcW w:w="9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4"/>
            <w:tcW w:w="9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ПРИКАЗ</w:t>
            </w:r>
            <w:r/>
          </w:p>
        </w:tc>
      </w:tr>
      <w:tr>
        <w:trPr/>
        <w:tc>
          <w:tcPr>
            <w:gridSpan w:val="4"/>
            <w:tcW w:w="9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</w:r>
            <w:r/>
          </w:p>
        </w:tc>
      </w:tr>
      <w:tr>
        <w:trPr>
          <w:trHeight w:val="814"/>
        </w:trPr>
        <w:tc>
          <w:tcPr>
            <w:tcW w:w="23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.     .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</w:r>
            <w:r/>
          </w:p>
        </w:tc>
        <w:tc>
          <w:tcPr>
            <w:tcW w:w="15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</w:t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</w:t>
      </w:r>
      <w:r>
        <w:rPr>
          <w:rFonts w:ascii="Times New Roman" w:hAnsi="Times New Roman"/>
          <w:sz w:val="28"/>
          <w:szCs w:val="28"/>
        </w:rPr>
        <w:t xml:space="preserve">нии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27.04.2017 № 36-од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 предоставлению муниципальной услуги </w:t>
      </w:r>
      <w:r>
        <w:rPr>
          <w:rFonts w:ascii="Times New Roman" w:hAnsi="Times New Roman" w:eastAsia="Calibri"/>
          <w:sz w:val="28"/>
          <w:szCs w:val="28"/>
        </w:rPr>
        <w:t xml:space="preserve">«Выдача разрешения на ввод объекта в эксплуатацию»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ПРИКАЗЫВАЮ: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1. </w:t>
      </w:r>
      <w:r>
        <w:rPr>
          <w:rFonts w:ascii="Times New Roman" w:hAnsi="Times New Roman" w:eastAsia="Calibri"/>
          <w:sz w:val="28"/>
          <w:szCs w:val="28"/>
        </w:rPr>
        <w:t xml:space="preserve">Утвердить прилагаемые изменения, которые вносятся в </w:t>
      </w:r>
      <w:r>
        <w:rPr>
          <w:rFonts w:ascii="Times New Roman" w:hAnsi="Times New Roman"/>
          <w:sz w:val="28"/>
          <w:szCs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27.04.2017 № 36-од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 предоставлению муниципальной услуги </w:t>
      </w:r>
      <w:r>
        <w:rPr>
          <w:rFonts w:ascii="Times New Roman" w:hAnsi="Times New Roman" w:eastAsia="Calibri"/>
          <w:sz w:val="28"/>
          <w:szCs w:val="28"/>
        </w:rPr>
        <w:t xml:space="preserve">«Выдача разрешения на ввод объекта в эксплуатацию»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Настоящий приказ вступает в силу на следующий день после дня его официального опубликования в газете «Вечерний Ставрополь».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          А.В. Уваров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5245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</w:t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№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/>
          <w:sz w:val="28"/>
          <w:szCs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27.04.2017 № 36-од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 предоставлению муниципальной услуги </w:t>
      </w:r>
      <w:r>
        <w:rPr>
          <w:rFonts w:ascii="Times New Roman" w:hAnsi="Times New Roman" w:eastAsia="Calibri"/>
          <w:sz w:val="28"/>
          <w:szCs w:val="28"/>
        </w:rPr>
        <w:t xml:space="preserve">«Выдача разрешения на ввод объекта в эксплуатацию»</w:t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cs="Times New Roman" w:eastAsia="Calibri"/>
          <w:sz w:val="28"/>
          <w:szCs w:val="28"/>
        </w:rPr>
        <w:t xml:space="preserve">В преамбуле </w:t>
      </w:r>
      <w:r>
        <w:rPr>
          <w:rFonts w:ascii="Times New Roman" w:hAnsi="Times New Roman"/>
          <w:sz w:val="28"/>
          <w:szCs w:val="28"/>
        </w:rPr>
        <w:t xml:space="preserve">приказа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27.04.2017 № 36-од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 предоставлению муниципальной услуги </w:t>
      </w:r>
      <w:r>
        <w:rPr>
          <w:rFonts w:ascii="Times New Roman" w:hAnsi="Times New Roman" w:eastAsia="Calibri"/>
          <w:sz w:val="28"/>
          <w:szCs w:val="28"/>
        </w:rPr>
        <w:t xml:space="preserve">«Выдача разрешения на ввод объекта в эксплуатацию»</w:t>
      </w:r>
      <w:r>
        <w:rPr>
          <w:rFonts w:ascii="Times New Roman" w:hAnsi="Times New Roman" w:cs="Times New Roman" w:eastAsia="Calibri"/>
          <w:sz w:val="28"/>
          <w:szCs w:val="28"/>
        </w:rPr>
        <w:t xml:space="preserve"> (далее – приказ) слова </w:t>
        <w:br/>
        <w:t xml:space="preserve">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от 26.06.2013 № 2103 «О Порядке разработки и утверждения административных регламентов предоставления муниципальных услуг» заменить словами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от 11.01.2023 </w:t>
      </w:r>
      <w:r>
        <w:rPr>
          <w:rFonts w:ascii="Times New Roman" w:hAnsi="Times New Roman" w:cs="Times New Roman" w:eastAsia="Calibri"/>
          <w:sz w:val="28"/>
          <w:szCs w:val="28"/>
        </w:rPr>
        <w:t xml:space="preserve">№ 25</w:t>
      </w:r>
      <w:r>
        <w:rPr>
          <w:rFonts w:ascii="Times New Roman" w:hAnsi="Times New Roman" w:cs="Times New Roman" w:eastAsia="Calibri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края».</w:t>
      </w:r>
      <w:r>
        <w:rPr>
          <w:rFonts w:ascii="Times New Roman" w:hAnsi="Times New Roman" w:eastAsia="Calibri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2. В приложении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 предоставлению муниципальной услуги </w:t>
      </w:r>
      <w:r>
        <w:rPr>
          <w:rFonts w:ascii="Times New Roman" w:hAnsi="Times New Roman" w:eastAsia="Calibri"/>
          <w:sz w:val="28"/>
          <w:szCs w:val="28"/>
        </w:rPr>
        <w:t xml:space="preserve">«Выдача разрешения на ввод объекта в эксплуатацию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 к приказу:</w:t>
      </w: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</w:rPr>
        <w:t xml:space="preserve">1) в подпункте 14: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</w:rPr>
        <w:t xml:space="preserve">а) подпункт 1 пункта 14 изложить в следующей редакции: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  <w:t xml:space="preserve">«14. 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Заявителем в Комитет, Центр подается: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Calibri"/>
          <w:sz w:val="28"/>
          <w:szCs w:val="28"/>
          <w:highlight w:val="none"/>
        </w:rPr>
        <w:t xml:space="preserve">1) в целях получения подуслуги «Выдача разрешения на ввод объекта в эксплуатацию»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 заявление о предоставлении услуги, заполненное по форме, приведенной в приложении 3 к Административному регламенту, с приложением следующих документов:</w:t>
      </w:r>
      <w:r/>
    </w:p>
    <w:tbl>
      <w:tblPr>
        <w:tblStyle w:val="853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8754"/>
      </w:tblGrid>
      <w:tr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№ п/п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  <w:tc>
          <w:tcPr>
            <w:tcW w:w="87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Наименование документа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1.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  <w:tc>
          <w:tcPr>
            <w:tcW w:w="87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(за исключением случая обращения с заявлением о предоставлении услуги в электронной форме)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2.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  <w:tc>
          <w:tcPr>
            <w:tcW w:w="87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3.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  <w:tc>
          <w:tcPr>
            <w:tcW w:w="87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Правоустанавливающий документ на земельный участок, если право на него не зарегистрировано в Едином государственном реестре недвижимости (при наличии)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4.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  <w:tc>
          <w:tcPr>
            <w:tcW w:w="87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Соглашение об установлении сервитута в отношении земельного участка в случае установления сервитута и при условии, что сервитут не зарегистрирован в Едином государственном реестре недвижимости (далее - ЕГРН)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5.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  <w:tc>
          <w:tcPr>
            <w:tcW w:w="87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</w:t>
            </w:r>
            <w:r/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(технологическое присоединение) этого объекта предусмотрено проектной документацией)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6.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  <w:tc>
          <w:tcPr>
            <w:tcW w:w="87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С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у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линейного объекта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7.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  <w:tc>
          <w:tcPr>
            <w:tcW w:w="87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Технический план объекта капитального строительства, подготовленный в форме электронного документа и заверенный усиленной квалифицированной электронной подписью кадастрового инженера (на электронном носителе)»;</w:t>
            </w:r>
            <w:r>
              <w:rPr>
                <w:rFonts w:ascii="Times New Roman" w:hAnsi="Times New Roman" w:eastAsia="Calibri"/>
                <w:sz w:val="28"/>
                <w:highlight w:val="none"/>
              </w:rPr>
            </w:r>
            <w:r/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  <w:t xml:space="preserve">б) в строке 4 таблицы, приведенной в подпункте 2, слова «3-9» заменить словами «3-7»; 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  <w:t xml:space="preserve">2) строку 4 таблицы, приведенной в пункте 16, признать утратившей силу;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  <w:t xml:space="preserve">3) подпункт 2 пункта 19 дополнить подпунктами «в», «г» и «д» следующего содержания: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  <w:t xml:space="preserve">«в) 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  <w:t xml:space="preserve">г) 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са Российской Федерации;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  <w:t xml:space="preserve">д) 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эксплуатацию.».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</w:t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49923801"/>
      <w:docPartObj>
        <w:docPartGallery w:val="Page Numbers (Top of Page)"/>
        <w:docPartUnique w:val="true"/>
      </w:docPartObj>
      <w:rPr/>
    </w:sdtPr>
    <w:sdtContent>
      <w:p>
        <w:pPr>
          <w:pStyle w:val="855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3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855"/>
      <w:rPr>
        <w:b/>
      </w:rPr>
    </w:pPr>
    <w:r>
      <w:rPr>
        <w:b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isLgl w:val="fals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8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48"/>
    <w:next w:val="848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9">
    <w:name w:val="Heading 1 Char"/>
    <w:basedOn w:val="850"/>
    <w:link w:val="678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48"/>
    <w:next w:val="848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1">
    <w:name w:val="Heading 2 Char"/>
    <w:basedOn w:val="850"/>
    <w:link w:val="680"/>
    <w:uiPriority w:val="9"/>
    <w:rPr>
      <w:rFonts w:ascii="Arial" w:hAnsi="Arial" w:cs="Arial" w:eastAsia="Arial"/>
      <w:sz w:val="34"/>
    </w:rPr>
  </w:style>
  <w:style w:type="character" w:styleId="682">
    <w:name w:val="Heading 3 Char"/>
    <w:basedOn w:val="850"/>
    <w:link w:val="849"/>
    <w:uiPriority w:val="9"/>
    <w:rPr>
      <w:rFonts w:ascii="Arial" w:hAnsi="Arial" w:cs="Arial" w:eastAsia="Arial"/>
      <w:sz w:val="30"/>
      <w:szCs w:val="30"/>
    </w:rPr>
  </w:style>
  <w:style w:type="paragraph" w:styleId="683">
    <w:name w:val="Heading 4"/>
    <w:basedOn w:val="848"/>
    <w:next w:val="84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4">
    <w:name w:val="Heading 4 Char"/>
    <w:basedOn w:val="850"/>
    <w:link w:val="683"/>
    <w:uiPriority w:val="9"/>
    <w:rPr>
      <w:rFonts w:ascii="Arial" w:hAnsi="Arial" w:cs="Arial" w:eastAsia="Arial"/>
      <w:b/>
      <w:bCs/>
      <w:sz w:val="26"/>
      <w:szCs w:val="26"/>
    </w:rPr>
  </w:style>
  <w:style w:type="paragraph" w:styleId="685">
    <w:name w:val="Heading 5"/>
    <w:basedOn w:val="848"/>
    <w:next w:val="848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6">
    <w:name w:val="Heading 5 Char"/>
    <w:basedOn w:val="850"/>
    <w:link w:val="685"/>
    <w:uiPriority w:val="9"/>
    <w:rPr>
      <w:rFonts w:ascii="Arial" w:hAnsi="Arial" w:cs="Arial" w:eastAsia="Arial"/>
      <w:b/>
      <w:bCs/>
      <w:sz w:val="24"/>
      <w:szCs w:val="24"/>
    </w:rPr>
  </w:style>
  <w:style w:type="paragraph" w:styleId="687">
    <w:name w:val="Heading 6"/>
    <w:basedOn w:val="848"/>
    <w:next w:val="848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8">
    <w:name w:val="Heading 6 Char"/>
    <w:basedOn w:val="850"/>
    <w:link w:val="687"/>
    <w:uiPriority w:val="9"/>
    <w:rPr>
      <w:rFonts w:ascii="Arial" w:hAnsi="Arial" w:cs="Arial" w:eastAsia="Arial"/>
      <w:b/>
      <w:bCs/>
      <w:sz w:val="22"/>
      <w:szCs w:val="22"/>
    </w:rPr>
  </w:style>
  <w:style w:type="paragraph" w:styleId="689">
    <w:name w:val="Heading 7"/>
    <w:basedOn w:val="848"/>
    <w:next w:val="848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0">
    <w:name w:val="Heading 7 Char"/>
    <w:basedOn w:val="850"/>
    <w:link w:val="68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1">
    <w:name w:val="Heading 8"/>
    <w:basedOn w:val="848"/>
    <w:next w:val="848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2">
    <w:name w:val="Heading 8 Char"/>
    <w:basedOn w:val="850"/>
    <w:link w:val="691"/>
    <w:uiPriority w:val="9"/>
    <w:rPr>
      <w:rFonts w:ascii="Arial" w:hAnsi="Arial" w:cs="Arial" w:eastAsia="Arial"/>
      <w:i/>
      <w:iCs/>
      <w:sz w:val="22"/>
      <w:szCs w:val="22"/>
    </w:rPr>
  </w:style>
  <w:style w:type="paragraph" w:styleId="693">
    <w:name w:val="Heading 9"/>
    <w:basedOn w:val="848"/>
    <w:next w:val="848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4">
    <w:name w:val="Heading 9 Char"/>
    <w:basedOn w:val="850"/>
    <w:link w:val="693"/>
    <w:uiPriority w:val="9"/>
    <w:rPr>
      <w:rFonts w:ascii="Arial" w:hAnsi="Arial" w:cs="Arial" w:eastAsia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48"/>
    <w:next w:val="848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0"/>
    <w:link w:val="696"/>
    <w:uiPriority w:val="10"/>
    <w:rPr>
      <w:sz w:val="48"/>
      <w:szCs w:val="48"/>
    </w:rPr>
  </w:style>
  <w:style w:type="paragraph" w:styleId="698">
    <w:name w:val="Subtitle"/>
    <w:basedOn w:val="848"/>
    <w:next w:val="848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0"/>
    <w:link w:val="698"/>
    <w:uiPriority w:val="11"/>
    <w:rPr>
      <w:sz w:val="24"/>
      <w:szCs w:val="24"/>
    </w:rPr>
  </w:style>
  <w:style w:type="paragraph" w:styleId="700">
    <w:name w:val="Quote"/>
    <w:basedOn w:val="848"/>
    <w:next w:val="848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8"/>
    <w:next w:val="848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0"/>
    <w:link w:val="855"/>
    <w:uiPriority w:val="99"/>
  </w:style>
  <w:style w:type="character" w:styleId="705">
    <w:name w:val="Footer Char"/>
    <w:basedOn w:val="850"/>
    <w:link w:val="857"/>
    <w:uiPriority w:val="99"/>
  </w:style>
  <w:style w:type="paragraph" w:styleId="706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7"/>
    <w:uiPriority w:val="99"/>
  </w:style>
  <w:style w:type="table" w:styleId="708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Footnote Text Char"/>
    <w:link w:val="865"/>
    <w:uiPriority w:val="99"/>
    <w:rPr>
      <w:sz w:val="18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50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rPr>
      <w:rFonts w:ascii="Calibri" w:hAnsi="Calibri" w:cs="Times New Roman" w:eastAsia="Times New Roman"/>
    </w:rPr>
  </w:style>
  <w:style w:type="paragraph" w:styleId="849">
    <w:name w:val="Heading 3"/>
    <w:basedOn w:val="848"/>
    <w:link w:val="864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table" w:styleId="853">
    <w:name w:val="Table Grid"/>
    <w:basedOn w:val="85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4">
    <w:name w:val="List Paragraph"/>
    <w:basedOn w:val="848"/>
    <w:uiPriority w:val="34"/>
    <w:qFormat/>
    <w:pPr>
      <w:contextualSpacing/>
      <w:ind w:left="720"/>
    </w:pPr>
  </w:style>
  <w:style w:type="paragraph" w:styleId="855">
    <w:name w:val="Header"/>
    <w:basedOn w:val="848"/>
    <w:link w:val="8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850"/>
    <w:link w:val="855"/>
    <w:uiPriority w:val="99"/>
    <w:rPr>
      <w:rFonts w:ascii="Calibri" w:hAnsi="Calibri" w:cs="Times New Roman" w:eastAsia="Times New Roman"/>
    </w:rPr>
  </w:style>
  <w:style w:type="paragraph" w:styleId="857">
    <w:name w:val="Footer"/>
    <w:basedOn w:val="848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basedOn w:val="850"/>
    <w:link w:val="857"/>
    <w:uiPriority w:val="99"/>
    <w:rPr>
      <w:rFonts w:ascii="Calibri" w:hAnsi="Calibri" w:cs="Times New Roman" w:eastAsia="Times New Roman"/>
    </w:rPr>
  </w:style>
  <w:style w:type="paragraph" w:styleId="859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60">
    <w:name w:val="Balloon Text"/>
    <w:basedOn w:val="848"/>
    <w:link w:val="8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1" w:customStyle="1">
    <w:name w:val="Текст выноски Знак"/>
    <w:basedOn w:val="850"/>
    <w:link w:val="860"/>
    <w:uiPriority w:val="99"/>
    <w:semiHidden/>
    <w:rPr>
      <w:rFonts w:ascii="Tahoma" w:hAnsi="Tahoma" w:cs="Tahoma" w:eastAsia="Times New Roman"/>
      <w:sz w:val="16"/>
      <w:szCs w:val="16"/>
    </w:rPr>
  </w:style>
  <w:style w:type="character" w:styleId="862">
    <w:name w:val="Hyperlink"/>
    <w:basedOn w:val="850"/>
    <w:rPr>
      <w:rFonts w:cs="Times New Roman"/>
      <w:color w:val="0000FF"/>
      <w:u w:val="single"/>
    </w:rPr>
  </w:style>
  <w:style w:type="paragraph" w:styleId="863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  <w:lang w:eastAsia="ru-RU"/>
    </w:rPr>
  </w:style>
  <w:style w:type="character" w:styleId="864" w:customStyle="1">
    <w:name w:val="Заголовок 3 Знак"/>
    <w:basedOn w:val="850"/>
    <w:link w:val="849"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paragraph" w:styleId="865">
    <w:name w:val="footnote text"/>
    <w:basedOn w:val="848"/>
    <w:link w:val="866"/>
    <w:rPr>
      <w:sz w:val="20"/>
      <w:szCs w:val="20"/>
    </w:rPr>
  </w:style>
  <w:style w:type="character" w:styleId="866" w:customStyle="1">
    <w:name w:val="Текст сноски Знак"/>
    <w:basedOn w:val="850"/>
    <w:link w:val="865"/>
    <w:rPr>
      <w:rFonts w:ascii="Calibri" w:hAnsi="Calibri" w:cs="Times New Roman" w:eastAsia="Times New Roman"/>
      <w:sz w:val="20"/>
      <w:szCs w:val="20"/>
    </w:rPr>
  </w:style>
  <w:style w:type="character" w:styleId="867">
    <w:name w:val="footnote reference"/>
    <w:rPr>
      <w:vertAlign w:val="superscript"/>
    </w:rPr>
  </w:style>
  <w:style w:type="paragraph" w:styleId="868" w:customStyle="1">
    <w:name w:val="ConsPlusNonformat"/>
    <w:pPr>
      <w:spacing w:after="0" w:line="240" w:lineRule="auto"/>
    </w:pPr>
    <w:rPr>
      <w:rFonts w:ascii="Courier New" w:hAnsi="Courier New" w:cs="Courier New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9225562D-FDC9-4697-AFB6-6D144210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 Илья Сергеевич</dc:creator>
  <cp:revision>14</cp:revision>
  <dcterms:created xsi:type="dcterms:W3CDTF">2022-10-07T13:07:00Z</dcterms:created>
  <dcterms:modified xsi:type="dcterms:W3CDTF">2023-02-17T14:41:42Z</dcterms:modified>
</cp:coreProperties>
</file>